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50AB42FC" w:rsidR="00FB7DE0" w:rsidRPr="009857E8" w:rsidRDefault="00250FB2" w:rsidP="00EE3B13">
            <w:pPr>
              <w:jc w:val="both"/>
              <w:rPr>
                <w:b/>
                <w:bCs/>
                <w:caps/>
                <w:sz w:val="20"/>
                <w:szCs w:val="20"/>
              </w:rPr>
            </w:pPr>
            <w:r w:rsidRPr="00250FB2">
              <w:rPr>
                <w:b/>
                <w:bCs/>
                <w:caps/>
                <w:sz w:val="20"/>
                <w:szCs w:val="20"/>
              </w:rPr>
              <w:t>РОССИЙСКИЙ РЫНОК ЭСТЕТИЧЕСКОЙ МЕДИЦИНЫ 2018 ТЕНДЕНЦИИ РЫНКА (ВЫПУСК 4)</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0567B258" w:rsidR="00FB7DE0" w:rsidRPr="00A31814" w:rsidRDefault="00144F4C" w:rsidP="00250FB2">
            <w:pPr>
              <w:rPr>
                <w:sz w:val="20"/>
                <w:szCs w:val="20"/>
              </w:rPr>
            </w:pPr>
            <w:r>
              <w:rPr>
                <w:sz w:val="20"/>
                <w:szCs w:val="20"/>
              </w:rPr>
              <w:t>1</w:t>
            </w:r>
            <w:r w:rsidR="007767B0">
              <w:rPr>
                <w:sz w:val="20"/>
                <w:szCs w:val="20"/>
              </w:rPr>
              <w:t>2</w:t>
            </w:r>
            <w:r w:rsidR="00B026EF">
              <w:rPr>
                <w:sz w:val="20"/>
                <w:szCs w:val="20"/>
              </w:rPr>
              <w:t>.</w:t>
            </w:r>
            <w:r>
              <w:rPr>
                <w:sz w:val="20"/>
                <w:szCs w:val="20"/>
              </w:rPr>
              <w:t>0</w:t>
            </w:r>
            <w:r w:rsidR="00250FB2">
              <w:rPr>
                <w:sz w:val="20"/>
                <w:szCs w:val="20"/>
              </w:rPr>
              <w:t>8</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68A70215" w:rsidR="00FB7DE0" w:rsidRPr="00A31814" w:rsidRDefault="00250FB2" w:rsidP="00F670C7">
            <w:pPr>
              <w:rPr>
                <w:sz w:val="20"/>
                <w:szCs w:val="20"/>
              </w:rPr>
            </w:pPr>
            <w:r>
              <w:rPr>
                <w:sz w:val="20"/>
                <w:szCs w:val="20"/>
              </w:rPr>
              <w:t>101</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45CA7D9C"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250FB2">
              <w:rPr>
                <w:sz w:val="20"/>
                <w:szCs w:val="20"/>
              </w:rPr>
              <w:t>эстетической медицины</w:t>
            </w:r>
            <w:r w:rsidR="00A4558C">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521992F6" w14:textId="149D8F82" w:rsidR="00C4124D" w:rsidRPr="00C4124D" w:rsidRDefault="00C4124D" w:rsidP="00C4124D">
            <w:pPr>
              <w:rPr>
                <w:sz w:val="20"/>
                <w:szCs w:val="20"/>
              </w:rPr>
            </w:pPr>
            <w:r w:rsidRPr="00C4124D">
              <w:rPr>
                <w:sz w:val="20"/>
                <w:szCs w:val="20"/>
              </w:rPr>
              <w:t xml:space="preserve">Рынок эстетической медицины входит в отрасль платных медицинских услуг. С 2014 по 2016 год рынок платных медицинских услуг в денежном выражении показывал ежегодный рост, однако, его темпы сокращались, и в 2017 году объем рынка сократился на </w:t>
            </w:r>
            <w:r>
              <w:rPr>
                <w:sz w:val="20"/>
                <w:szCs w:val="20"/>
              </w:rPr>
              <w:t>…</w:t>
            </w:r>
            <w:r w:rsidRPr="00C4124D">
              <w:rPr>
                <w:sz w:val="20"/>
                <w:szCs w:val="20"/>
              </w:rPr>
              <w:t xml:space="preserve">% до </w:t>
            </w:r>
            <w:r>
              <w:rPr>
                <w:sz w:val="20"/>
                <w:szCs w:val="20"/>
              </w:rPr>
              <w:t>…..</w:t>
            </w:r>
            <w:r w:rsidRPr="00C4124D">
              <w:rPr>
                <w:sz w:val="20"/>
                <w:szCs w:val="20"/>
              </w:rPr>
              <w:t>. руб.</w:t>
            </w:r>
          </w:p>
          <w:p w14:paraId="3A27B884" w14:textId="77777777" w:rsidR="00C4124D" w:rsidRPr="00C4124D" w:rsidRDefault="00C4124D" w:rsidP="00C4124D">
            <w:pPr>
              <w:rPr>
                <w:sz w:val="20"/>
                <w:szCs w:val="20"/>
              </w:rPr>
            </w:pPr>
          </w:p>
          <w:p w14:paraId="20DE6EEE" w14:textId="3EF48F3F" w:rsidR="00C4124D" w:rsidRPr="00C4124D" w:rsidRDefault="00C4124D" w:rsidP="00C4124D">
            <w:pPr>
              <w:rPr>
                <w:sz w:val="20"/>
                <w:szCs w:val="20"/>
              </w:rPr>
            </w:pPr>
            <w:r w:rsidRPr="00C4124D">
              <w:rPr>
                <w:sz w:val="20"/>
                <w:szCs w:val="20"/>
              </w:rPr>
              <w:t xml:space="preserve">В наибольшей степени на рынок эстетической медицины влияет рынок препаратов для проведения процедур. После значительного роста в 2016 году (на </w:t>
            </w:r>
            <w:r>
              <w:rPr>
                <w:sz w:val="20"/>
                <w:szCs w:val="20"/>
              </w:rPr>
              <w:t>…</w:t>
            </w:r>
            <w:r w:rsidRPr="00C4124D">
              <w:rPr>
                <w:sz w:val="20"/>
                <w:szCs w:val="20"/>
              </w:rPr>
              <w:t>%) объем рынка препаратов для косметологических инъекций сократился на</w:t>
            </w:r>
            <w:proofErr w:type="gramStart"/>
            <w:r w:rsidRPr="00C4124D">
              <w:rPr>
                <w:sz w:val="20"/>
                <w:szCs w:val="20"/>
              </w:rPr>
              <w:t xml:space="preserve"> </w:t>
            </w:r>
            <w:r>
              <w:rPr>
                <w:sz w:val="20"/>
                <w:szCs w:val="20"/>
              </w:rPr>
              <w:t>….</w:t>
            </w:r>
            <w:proofErr w:type="gramEnd"/>
            <w:r w:rsidRPr="00C4124D">
              <w:rPr>
                <w:sz w:val="20"/>
                <w:szCs w:val="20"/>
              </w:rPr>
              <w:t xml:space="preserve">%. В 2017 году объем рынка в натуральном выражении сократился на </w:t>
            </w:r>
            <w:r>
              <w:rPr>
                <w:sz w:val="20"/>
                <w:szCs w:val="20"/>
              </w:rPr>
              <w:t>…</w:t>
            </w:r>
            <w:r w:rsidRPr="00C4124D">
              <w:rPr>
                <w:sz w:val="20"/>
                <w:szCs w:val="20"/>
              </w:rPr>
              <w:t xml:space="preserve">% до </w:t>
            </w:r>
            <w:r>
              <w:rPr>
                <w:sz w:val="20"/>
                <w:szCs w:val="20"/>
              </w:rPr>
              <w:t>…..</w:t>
            </w:r>
            <w:r w:rsidRPr="00C4124D">
              <w:rPr>
                <w:sz w:val="20"/>
                <w:szCs w:val="20"/>
              </w:rPr>
              <w:t xml:space="preserve">. шт. </w:t>
            </w:r>
          </w:p>
          <w:p w14:paraId="1052652C" w14:textId="77777777" w:rsidR="00C4124D" w:rsidRPr="00C4124D" w:rsidRDefault="00C4124D" w:rsidP="00C4124D">
            <w:pPr>
              <w:rPr>
                <w:sz w:val="20"/>
                <w:szCs w:val="20"/>
              </w:rPr>
            </w:pPr>
          </w:p>
          <w:p w14:paraId="4400121D" w14:textId="339552F2" w:rsidR="00C4124D" w:rsidRPr="00C4124D" w:rsidRDefault="00C4124D" w:rsidP="00C4124D">
            <w:pPr>
              <w:rPr>
                <w:sz w:val="20"/>
                <w:szCs w:val="20"/>
              </w:rPr>
            </w:pPr>
            <w:r w:rsidRPr="00C4124D">
              <w:rPr>
                <w:sz w:val="20"/>
                <w:szCs w:val="20"/>
              </w:rPr>
              <w:t xml:space="preserve">В 2017 году профильная матрица препаратов для косметических инъекций состоит </w:t>
            </w:r>
            <w:proofErr w:type="gramStart"/>
            <w:r w:rsidRPr="00C4124D">
              <w:rPr>
                <w:sz w:val="20"/>
                <w:szCs w:val="20"/>
              </w:rPr>
              <w:t xml:space="preserve">из </w:t>
            </w:r>
            <w:r>
              <w:rPr>
                <w:sz w:val="20"/>
                <w:szCs w:val="20"/>
              </w:rPr>
              <w:t>.</w:t>
            </w:r>
            <w:proofErr w:type="gramEnd"/>
            <w:r w:rsidRPr="00C4124D">
              <w:rPr>
                <w:sz w:val="20"/>
                <w:szCs w:val="20"/>
              </w:rPr>
              <w:t xml:space="preserve"> позиций (+</w:t>
            </w:r>
            <w:r>
              <w:rPr>
                <w:sz w:val="20"/>
                <w:szCs w:val="20"/>
              </w:rPr>
              <w:t>…</w:t>
            </w:r>
            <w:r w:rsidRPr="00C4124D">
              <w:rPr>
                <w:sz w:val="20"/>
                <w:szCs w:val="20"/>
              </w:rPr>
              <w:t xml:space="preserve">% к 2016 году). Самым насыщенным и часто обновляемым сегментом инъекционной индустрии традиционно считаются </w:t>
            </w:r>
            <w:proofErr w:type="spellStart"/>
            <w:r w:rsidRPr="00C4124D">
              <w:rPr>
                <w:sz w:val="20"/>
                <w:szCs w:val="20"/>
              </w:rPr>
              <w:t>биоревитализанты</w:t>
            </w:r>
            <w:proofErr w:type="spellEnd"/>
            <w:r w:rsidRPr="00C4124D">
              <w:rPr>
                <w:sz w:val="20"/>
                <w:szCs w:val="20"/>
              </w:rPr>
              <w:t xml:space="preserve"> - </w:t>
            </w:r>
            <w:r>
              <w:rPr>
                <w:sz w:val="20"/>
                <w:szCs w:val="20"/>
              </w:rPr>
              <w:t>…</w:t>
            </w:r>
            <w:r w:rsidRPr="00C4124D">
              <w:rPr>
                <w:sz w:val="20"/>
                <w:szCs w:val="20"/>
              </w:rPr>
              <w:t xml:space="preserve"> торговых марок. В сегменте присутствуют продукты из</w:t>
            </w:r>
            <w:proofErr w:type="gramStart"/>
            <w:r w:rsidRPr="00C4124D">
              <w:rPr>
                <w:sz w:val="20"/>
                <w:szCs w:val="20"/>
              </w:rPr>
              <w:t xml:space="preserve"> </w:t>
            </w:r>
            <w:r>
              <w:rPr>
                <w:sz w:val="20"/>
                <w:szCs w:val="20"/>
              </w:rPr>
              <w:t>….</w:t>
            </w:r>
            <w:proofErr w:type="gramEnd"/>
            <w:r w:rsidRPr="00C4124D">
              <w:rPr>
                <w:sz w:val="20"/>
                <w:szCs w:val="20"/>
              </w:rPr>
              <w:t xml:space="preserve"> стран мира. Наибольшая доля поддельных косметических средств – в сегменте услуг </w:t>
            </w:r>
            <w:r>
              <w:rPr>
                <w:sz w:val="20"/>
                <w:szCs w:val="20"/>
              </w:rPr>
              <w:t>……</w:t>
            </w:r>
            <w:r w:rsidRPr="00C4124D">
              <w:rPr>
                <w:sz w:val="20"/>
                <w:szCs w:val="20"/>
              </w:rPr>
              <w:t xml:space="preserve"> </w:t>
            </w:r>
            <w:proofErr w:type="gramStart"/>
            <w:r w:rsidRPr="00C4124D">
              <w:rPr>
                <w:sz w:val="20"/>
                <w:szCs w:val="20"/>
              </w:rPr>
              <w:t>(</w:t>
            </w:r>
            <w:r>
              <w:rPr>
                <w:sz w:val="20"/>
                <w:szCs w:val="20"/>
              </w:rPr>
              <w:t>….</w:t>
            </w:r>
            <w:proofErr w:type="gramEnd"/>
            <w:r w:rsidRPr="00C4124D">
              <w:rPr>
                <w:sz w:val="20"/>
                <w:szCs w:val="20"/>
              </w:rPr>
              <w:t>%).</w:t>
            </w:r>
          </w:p>
          <w:p w14:paraId="51C3C72A" w14:textId="77777777" w:rsidR="00C4124D" w:rsidRPr="00C4124D" w:rsidRDefault="00C4124D" w:rsidP="00C4124D">
            <w:pPr>
              <w:rPr>
                <w:sz w:val="20"/>
                <w:szCs w:val="20"/>
              </w:rPr>
            </w:pPr>
          </w:p>
          <w:p w14:paraId="5EBC6DEC" w14:textId="76C55B38" w:rsidR="00C4124D" w:rsidRPr="00C4124D" w:rsidRDefault="00C4124D" w:rsidP="00C4124D">
            <w:pPr>
              <w:rPr>
                <w:sz w:val="20"/>
                <w:szCs w:val="20"/>
              </w:rPr>
            </w:pPr>
            <w:r w:rsidRPr="00C4124D">
              <w:rPr>
                <w:sz w:val="20"/>
                <w:szCs w:val="20"/>
              </w:rPr>
              <w:t>С 2015 по 2016 год объем рынка пластической хирургии сокращался невысокими темпами, однако, к 2017 год возобновился рост показателя – на</w:t>
            </w:r>
            <w:proofErr w:type="gramStart"/>
            <w:r w:rsidRPr="00C4124D">
              <w:rPr>
                <w:sz w:val="20"/>
                <w:szCs w:val="20"/>
              </w:rPr>
              <w:t xml:space="preserve"> </w:t>
            </w:r>
            <w:r>
              <w:rPr>
                <w:sz w:val="20"/>
                <w:szCs w:val="20"/>
              </w:rPr>
              <w:t>….</w:t>
            </w:r>
            <w:proofErr w:type="gramEnd"/>
            <w:r w:rsidRPr="00C4124D">
              <w:rPr>
                <w:sz w:val="20"/>
                <w:szCs w:val="20"/>
              </w:rPr>
              <w:t xml:space="preserve">% до </w:t>
            </w:r>
            <w:r>
              <w:rPr>
                <w:sz w:val="20"/>
                <w:szCs w:val="20"/>
              </w:rPr>
              <w:t>….</w:t>
            </w:r>
            <w:r w:rsidRPr="00C4124D">
              <w:rPr>
                <w:sz w:val="20"/>
                <w:szCs w:val="20"/>
              </w:rPr>
              <w:t xml:space="preserve"> руб. С 2013 по 2017 год объем рынка пластической хирургии в натуральном выражении ежегодно растет сокращающимися темпами, в 2017 году рост показателя составил</w:t>
            </w:r>
            <w:proofErr w:type="gramStart"/>
            <w:r w:rsidRPr="00C4124D">
              <w:rPr>
                <w:sz w:val="20"/>
                <w:szCs w:val="20"/>
              </w:rPr>
              <w:t xml:space="preserve"> </w:t>
            </w:r>
            <w:r>
              <w:rPr>
                <w:sz w:val="20"/>
                <w:szCs w:val="20"/>
              </w:rPr>
              <w:t>….</w:t>
            </w:r>
            <w:proofErr w:type="gramEnd"/>
            <w:r w:rsidRPr="00C4124D">
              <w:rPr>
                <w:sz w:val="20"/>
                <w:szCs w:val="20"/>
              </w:rPr>
              <w:t xml:space="preserve">% до </w:t>
            </w:r>
            <w:r>
              <w:rPr>
                <w:sz w:val="20"/>
                <w:szCs w:val="20"/>
              </w:rPr>
              <w:t>…..</w:t>
            </w:r>
            <w:r w:rsidRPr="00C4124D">
              <w:rPr>
                <w:sz w:val="20"/>
                <w:szCs w:val="20"/>
              </w:rPr>
              <w:t xml:space="preserve"> услуг.</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t>Подробное оглавление/содержание отчета</w:t>
            </w:r>
          </w:p>
        </w:tc>
        <w:tc>
          <w:tcPr>
            <w:tcW w:w="6660" w:type="dxa"/>
            <w:shd w:val="clear" w:color="auto" w:fill="FFFFFF"/>
          </w:tcPr>
          <w:tbl>
            <w:tblPr>
              <w:tblW w:w="6697" w:type="dxa"/>
              <w:tblLayout w:type="fixed"/>
              <w:tblLook w:val="04A0" w:firstRow="1" w:lastRow="0" w:firstColumn="1" w:lastColumn="0" w:noHBand="0" w:noVBand="1"/>
            </w:tblPr>
            <w:tblGrid>
              <w:gridCol w:w="547"/>
              <w:gridCol w:w="708"/>
              <w:gridCol w:w="851"/>
              <w:gridCol w:w="3631"/>
              <w:gridCol w:w="960"/>
            </w:tblGrid>
            <w:tr w:rsidR="00C4124D" w14:paraId="69B6F1CB" w14:textId="77777777" w:rsidTr="002F10D1">
              <w:trPr>
                <w:trHeight w:val="300"/>
              </w:trPr>
              <w:tc>
                <w:tcPr>
                  <w:tcW w:w="547" w:type="dxa"/>
                  <w:tcBorders>
                    <w:top w:val="nil"/>
                    <w:left w:val="nil"/>
                    <w:bottom w:val="nil"/>
                    <w:right w:val="nil"/>
                  </w:tcBorders>
                  <w:shd w:val="clear" w:color="auto" w:fill="auto"/>
                  <w:noWrap/>
                  <w:vAlign w:val="bottom"/>
                  <w:hideMark/>
                </w:tcPr>
                <w:p w14:paraId="2FA960DD" w14:textId="77777777" w:rsidR="00C4124D" w:rsidRDefault="00C4124D" w:rsidP="00C4124D">
                  <w:pPr>
                    <w:rPr>
                      <w:rFonts w:ascii="Calibri" w:hAnsi="Calibri"/>
                      <w:color w:val="000000"/>
                      <w:sz w:val="22"/>
                      <w:szCs w:val="22"/>
                    </w:rPr>
                  </w:pPr>
                  <w:r>
                    <w:rPr>
                      <w:rFonts w:ascii="Calibri" w:hAnsi="Calibri"/>
                      <w:color w:val="000000"/>
                      <w:sz w:val="22"/>
                      <w:szCs w:val="22"/>
                    </w:rPr>
                    <w:t>1</w:t>
                  </w:r>
                </w:p>
              </w:tc>
              <w:tc>
                <w:tcPr>
                  <w:tcW w:w="5190" w:type="dxa"/>
                  <w:gridSpan w:val="3"/>
                  <w:tcBorders>
                    <w:top w:val="nil"/>
                    <w:left w:val="nil"/>
                    <w:bottom w:val="nil"/>
                    <w:right w:val="nil"/>
                  </w:tcBorders>
                  <w:shd w:val="clear" w:color="auto" w:fill="auto"/>
                  <w:noWrap/>
                  <w:vAlign w:val="center"/>
                  <w:hideMark/>
                </w:tcPr>
                <w:p w14:paraId="0FF5D428" w14:textId="77777777" w:rsidR="00C4124D" w:rsidRDefault="00C4124D" w:rsidP="00C4124D">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64D8BC26" w14:textId="77777777" w:rsidR="00C4124D" w:rsidRDefault="00C4124D" w:rsidP="00C4124D">
                  <w:pPr>
                    <w:rPr>
                      <w:rFonts w:ascii="Arial" w:hAnsi="Arial" w:cs="Arial"/>
                      <w:b/>
                      <w:bCs/>
                      <w:color w:val="333399"/>
                      <w:sz w:val="20"/>
                      <w:szCs w:val="20"/>
                    </w:rPr>
                  </w:pPr>
                </w:p>
              </w:tc>
            </w:tr>
            <w:tr w:rsidR="00C4124D" w14:paraId="47C35B2F" w14:textId="77777777" w:rsidTr="002F10D1">
              <w:trPr>
                <w:trHeight w:val="300"/>
              </w:trPr>
              <w:tc>
                <w:tcPr>
                  <w:tcW w:w="547" w:type="dxa"/>
                  <w:tcBorders>
                    <w:top w:val="nil"/>
                    <w:left w:val="nil"/>
                    <w:bottom w:val="nil"/>
                    <w:right w:val="nil"/>
                  </w:tcBorders>
                  <w:shd w:val="clear" w:color="auto" w:fill="auto"/>
                  <w:noWrap/>
                  <w:vAlign w:val="bottom"/>
                  <w:hideMark/>
                </w:tcPr>
                <w:p w14:paraId="2A66D97B" w14:textId="77777777" w:rsidR="00C4124D" w:rsidRDefault="00C4124D" w:rsidP="00C4124D">
                  <w:pPr>
                    <w:rPr>
                      <w:rFonts w:ascii="Calibri" w:hAnsi="Calibri"/>
                      <w:color w:val="000000"/>
                      <w:sz w:val="22"/>
                      <w:szCs w:val="22"/>
                    </w:rPr>
                  </w:pPr>
                  <w:r>
                    <w:rPr>
                      <w:rFonts w:ascii="Calibri" w:hAnsi="Calibri"/>
                      <w:color w:val="000000"/>
                      <w:sz w:val="22"/>
                      <w:szCs w:val="22"/>
                    </w:rPr>
                    <w:t>2</w:t>
                  </w:r>
                </w:p>
              </w:tc>
              <w:tc>
                <w:tcPr>
                  <w:tcW w:w="5190" w:type="dxa"/>
                  <w:gridSpan w:val="3"/>
                  <w:tcBorders>
                    <w:top w:val="nil"/>
                    <w:left w:val="nil"/>
                    <w:bottom w:val="nil"/>
                    <w:right w:val="nil"/>
                  </w:tcBorders>
                  <w:shd w:val="clear" w:color="auto" w:fill="auto"/>
                  <w:noWrap/>
                  <w:vAlign w:val="center"/>
                  <w:hideMark/>
                </w:tcPr>
                <w:p w14:paraId="46B20A44"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3740B097"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4</w:t>
                  </w:r>
                </w:p>
              </w:tc>
            </w:tr>
            <w:tr w:rsidR="00C4124D" w14:paraId="59FDE2A3" w14:textId="77777777" w:rsidTr="002F10D1">
              <w:trPr>
                <w:trHeight w:val="300"/>
              </w:trPr>
              <w:tc>
                <w:tcPr>
                  <w:tcW w:w="547" w:type="dxa"/>
                  <w:tcBorders>
                    <w:top w:val="nil"/>
                    <w:left w:val="nil"/>
                    <w:bottom w:val="nil"/>
                    <w:right w:val="nil"/>
                  </w:tcBorders>
                  <w:shd w:val="clear" w:color="auto" w:fill="auto"/>
                  <w:noWrap/>
                  <w:vAlign w:val="bottom"/>
                  <w:hideMark/>
                </w:tcPr>
                <w:p w14:paraId="2C8DFB1C" w14:textId="77777777" w:rsidR="00C4124D" w:rsidRDefault="00C4124D" w:rsidP="00C4124D">
                  <w:pPr>
                    <w:rPr>
                      <w:rFonts w:ascii="Calibri" w:hAnsi="Calibri"/>
                      <w:color w:val="000000"/>
                      <w:sz w:val="22"/>
                      <w:szCs w:val="22"/>
                    </w:rPr>
                  </w:pPr>
                  <w:r>
                    <w:rPr>
                      <w:rFonts w:ascii="Calibri" w:hAnsi="Calibri"/>
                      <w:color w:val="000000"/>
                      <w:sz w:val="22"/>
                      <w:szCs w:val="22"/>
                    </w:rPr>
                    <w:t>3</w:t>
                  </w:r>
                </w:p>
              </w:tc>
              <w:tc>
                <w:tcPr>
                  <w:tcW w:w="5190" w:type="dxa"/>
                  <w:gridSpan w:val="3"/>
                  <w:tcBorders>
                    <w:top w:val="nil"/>
                    <w:left w:val="nil"/>
                    <w:bottom w:val="nil"/>
                    <w:right w:val="nil"/>
                  </w:tcBorders>
                  <w:shd w:val="clear" w:color="auto" w:fill="auto"/>
                  <w:noWrap/>
                  <w:vAlign w:val="center"/>
                  <w:hideMark/>
                </w:tcPr>
                <w:p w14:paraId="5DE71D43"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065A871C"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6</w:t>
                  </w:r>
                </w:p>
              </w:tc>
            </w:tr>
            <w:tr w:rsidR="00C4124D" w14:paraId="64C0FDF5" w14:textId="77777777" w:rsidTr="002F10D1">
              <w:trPr>
                <w:trHeight w:val="300"/>
              </w:trPr>
              <w:tc>
                <w:tcPr>
                  <w:tcW w:w="547" w:type="dxa"/>
                  <w:tcBorders>
                    <w:top w:val="nil"/>
                    <w:left w:val="nil"/>
                    <w:bottom w:val="nil"/>
                    <w:right w:val="nil"/>
                  </w:tcBorders>
                  <w:shd w:val="clear" w:color="auto" w:fill="auto"/>
                  <w:noWrap/>
                  <w:vAlign w:val="bottom"/>
                  <w:hideMark/>
                </w:tcPr>
                <w:p w14:paraId="7BEC5A28" w14:textId="77777777" w:rsidR="00C4124D" w:rsidRDefault="00C4124D" w:rsidP="00C4124D">
                  <w:pPr>
                    <w:rPr>
                      <w:rFonts w:ascii="Calibri" w:hAnsi="Calibri"/>
                      <w:color w:val="000000"/>
                      <w:sz w:val="22"/>
                      <w:szCs w:val="22"/>
                    </w:rPr>
                  </w:pPr>
                  <w:r>
                    <w:rPr>
                      <w:rFonts w:ascii="Calibri" w:hAnsi="Calibri"/>
                      <w:color w:val="000000"/>
                      <w:sz w:val="22"/>
                      <w:szCs w:val="22"/>
                    </w:rPr>
                    <w:t>4</w:t>
                  </w:r>
                </w:p>
              </w:tc>
              <w:tc>
                <w:tcPr>
                  <w:tcW w:w="5190" w:type="dxa"/>
                  <w:gridSpan w:val="3"/>
                  <w:tcBorders>
                    <w:top w:val="nil"/>
                    <w:left w:val="nil"/>
                    <w:bottom w:val="nil"/>
                    <w:right w:val="nil"/>
                  </w:tcBorders>
                  <w:shd w:val="clear" w:color="auto" w:fill="auto"/>
                  <w:noWrap/>
                  <w:vAlign w:val="center"/>
                  <w:hideMark/>
                </w:tcPr>
                <w:p w14:paraId="354BB3A8"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34380913"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8</w:t>
                  </w:r>
                </w:p>
              </w:tc>
            </w:tr>
            <w:tr w:rsidR="00C4124D" w14:paraId="743C8923" w14:textId="77777777" w:rsidTr="002F10D1">
              <w:trPr>
                <w:trHeight w:val="300"/>
              </w:trPr>
              <w:tc>
                <w:tcPr>
                  <w:tcW w:w="547" w:type="dxa"/>
                  <w:tcBorders>
                    <w:top w:val="nil"/>
                    <w:left w:val="nil"/>
                    <w:bottom w:val="nil"/>
                    <w:right w:val="nil"/>
                  </w:tcBorders>
                  <w:shd w:val="clear" w:color="auto" w:fill="auto"/>
                  <w:noWrap/>
                  <w:vAlign w:val="bottom"/>
                  <w:hideMark/>
                </w:tcPr>
                <w:p w14:paraId="5ADB9AF6" w14:textId="77777777" w:rsidR="00C4124D" w:rsidRDefault="00C4124D" w:rsidP="00C4124D">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35D4ABFB" w14:textId="77777777" w:rsidR="00C4124D" w:rsidRDefault="00C4124D" w:rsidP="00C4124D">
                  <w:pPr>
                    <w:rPr>
                      <w:rFonts w:ascii="Calibri" w:hAnsi="Calibri"/>
                      <w:color w:val="000000"/>
                      <w:sz w:val="22"/>
                      <w:szCs w:val="22"/>
                    </w:rPr>
                  </w:pPr>
                  <w:r>
                    <w:rPr>
                      <w:rFonts w:ascii="Calibri" w:hAnsi="Calibri"/>
                      <w:color w:val="000000"/>
                      <w:sz w:val="22"/>
                      <w:szCs w:val="22"/>
                    </w:rPr>
                    <w:t>4.1</w:t>
                  </w:r>
                </w:p>
              </w:tc>
              <w:tc>
                <w:tcPr>
                  <w:tcW w:w="4482" w:type="dxa"/>
                  <w:gridSpan w:val="2"/>
                  <w:tcBorders>
                    <w:top w:val="nil"/>
                    <w:left w:val="nil"/>
                    <w:bottom w:val="nil"/>
                    <w:right w:val="nil"/>
                  </w:tcBorders>
                  <w:shd w:val="clear" w:color="auto" w:fill="auto"/>
                  <w:noWrap/>
                  <w:vAlign w:val="center"/>
                  <w:hideMark/>
                </w:tcPr>
                <w:p w14:paraId="3AD68324" w14:textId="77777777" w:rsidR="00C4124D" w:rsidRDefault="00C4124D" w:rsidP="00C4124D">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5271D671"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8</w:t>
                  </w:r>
                </w:p>
              </w:tc>
            </w:tr>
            <w:tr w:rsidR="00C4124D" w14:paraId="7B681D46" w14:textId="77777777" w:rsidTr="002F10D1">
              <w:trPr>
                <w:trHeight w:val="300"/>
              </w:trPr>
              <w:tc>
                <w:tcPr>
                  <w:tcW w:w="547" w:type="dxa"/>
                  <w:tcBorders>
                    <w:top w:val="nil"/>
                    <w:left w:val="nil"/>
                    <w:bottom w:val="nil"/>
                    <w:right w:val="nil"/>
                  </w:tcBorders>
                  <w:shd w:val="clear" w:color="auto" w:fill="auto"/>
                  <w:noWrap/>
                  <w:vAlign w:val="bottom"/>
                  <w:hideMark/>
                </w:tcPr>
                <w:p w14:paraId="5165E69F"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D4D329C" w14:textId="77777777" w:rsidR="00C4124D" w:rsidRDefault="00C4124D" w:rsidP="00C4124D">
                  <w:pPr>
                    <w:rPr>
                      <w:rFonts w:ascii="Calibri" w:hAnsi="Calibri"/>
                      <w:color w:val="000000"/>
                      <w:sz w:val="22"/>
                      <w:szCs w:val="22"/>
                    </w:rPr>
                  </w:pPr>
                  <w:r>
                    <w:rPr>
                      <w:rFonts w:ascii="Calibri" w:hAnsi="Calibri"/>
                      <w:color w:val="000000"/>
                      <w:sz w:val="22"/>
                      <w:szCs w:val="22"/>
                    </w:rPr>
                    <w:t>4.2</w:t>
                  </w:r>
                </w:p>
              </w:tc>
              <w:tc>
                <w:tcPr>
                  <w:tcW w:w="4482" w:type="dxa"/>
                  <w:gridSpan w:val="2"/>
                  <w:tcBorders>
                    <w:top w:val="nil"/>
                    <w:left w:val="nil"/>
                    <w:bottom w:val="nil"/>
                    <w:right w:val="nil"/>
                  </w:tcBorders>
                  <w:shd w:val="clear" w:color="auto" w:fill="auto"/>
                  <w:noWrap/>
                  <w:vAlign w:val="center"/>
                  <w:hideMark/>
                </w:tcPr>
                <w:p w14:paraId="259B6423" w14:textId="77777777" w:rsidR="00C4124D" w:rsidRDefault="00C4124D" w:rsidP="00C4124D">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555D67E8"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8</w:t>
                  </w:r>
                </w:p>
              </w:tc>
            </w:tr>
            <w:tr w:rsidR="00C4124D" w14:paraId="2C31C8D1" w14:textId="77777777" w:rsidTr="002F10D1">
              <w:trPr>
                <w:trHeight w:val="300"/>
              </w:trPr>
              <w:tc>
                <w:tcPr>
                  <w:tcW w:w="547" w:type="dxa"/>
                  <w:tcBorders>
                    <w:top w:val="nil"/>
                    <w:left w:val="nil"/>
                    <w:bottom w:val="nil"/>
                    <w:right w:val="nil"/>
                  </w:tcBorders>
                  <w:shd w:val="clear" w:color="auto" w:fill="auto"/>
                  <w:noWrap/>
                  <w:vAlign w:val="bottom"/>
                  <w:hideMark/>
                </w:tcPr>
                <w:p w14:paraId="6437F925"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25DDDE0" w14:textId="77777777" w:rsidR="00C4124D" w:rsidRDefault="00C4124D" w:rsidP="00C4124D">
                  <w:pPr>
                    <w:rPr>
                      <w:rFonts w:ascii="Calibri" w:hAnsi="Calibri"/>
                      <w:color w:val="000000"/>
                      <w:sz w:val="22"/>
                      <w:szCs w:val="22"/>
                    </w:rPr>
                  </w:pPr>
                  <w:r>
                    <w:rPr>
                      <w:rFonts w:ascii="Calibri" w:hAnsi="Calibri"/>
                      <w:color w:val="000000"/>
                      <w:sz w:val="22"/>
                      <w:szCs w:val="22"/>
                    </w:rPr>
                    <w:t>4.3</w:t>
                  </w:r>
                </w:p>
              </w:tc>
              <w:tc>
                <w:tcPr>
                  <w:tcW w:w="4482" w:type="dxa"/>
                  <w:gridSpan w:val="2"/>
                  <w:tcBorders>
                    <w:top w:val="nil"/>
                    <w:left w:val="nil"/>
                    <w:bottom w:val="nil"/>
                    <w:right w:val="nil"/>
                  </w:tcBorders>
                  <w:shd w:val="clear" w:color="auto" w:fill="auto"/>
                  <w:noWrap/>
                  <w:vAlign w:val="center"/>
                  <w:hideMark/>
                </w:tcPr>
                <w:p w14:paraId="7615C79E" w14:textId="77777777" w:rsidR="00C4124D" w:rsidRDefault="00C4124D" w:rsidP="00C4124D">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3C97F228"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8</w:t>
                  </w:r>
                </w:p>
              </w:tc>
            </w:tr>
            <w:tr w:rsidR="00C4124D" w14:paraId="601724E8" w14:textId="77777777" w:rsidTr="002F10D1">
              <w:trPr>
                <w:trHeight w:val="300"/>
              </w:trPr>
              <w:tc>
                <w:tcPr>
                  <w:tcW w:w="547" w:type="dxa"/>
                  <w:tcBorders>
                    <w:top w:val="nil"/>
                    <w:left w:val="nil"/>
                    <w:bottom w:val="nil"/>
                    <w:right w:val="nil"/>
                  </w:tcBorders>
                  <w:shd w:val="clear" w:color="auto" w:fill="auto"/>
                  <w:noWrap/>
                  <w:vAlign w:val="bottom"/>
                  <w:hideMark/>
                </w:tcPr>
                <w:p w14:paraId="0CF1BD11"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0EEDF10" w14:textId="77777777" w:rsidR="00C4124D" w:rsidRDefault="00C4124D" w:rsidP="00C4124D">
                  <w:pPr>
                    <w:rPr>
                      <w:rFonts w:ascii="Calibri" w:hAnsi="Calibri"/>
                      <w:color w:val="000000"/>
                      <w:sz w:val="22"/>
                      <w:szCs w:val="22"/>
                    </w:rPr>
                  </w:pPr>
                  <w:r>
                    <w:rPr>
                      <w:rFonts w:ascii="Calibri" w:hAnsi="Calibri"/>
                      <w:color w:val="000000"/>
                      <w:sz w:val="22"/>
                      <w:szCs w:val="22"/>
                    </w:rPr>
                    <w:t>4.4</w:t>
                  </w:r>
                </w:p>
              </w:tc>
              <w:tc>
                <w:tcPr>
                  <w:tcW w:w="4482" w:type="dxa"/>
                  <w:gridSpan w:val="2"/>
                  <w:tcBorders>
                    <w:top w:val="nil"/>
                    <w:left w:val="nil"/>
                    <w:bottom w:val="nil"/>
                    <w:right w:val="nil"/>
                  </w:tcBorders>
                  <w:shd w:val="clear" w:color="auto" w:fill="auto"/>
                  <w:noWrap/>
                  <w:vAlign w:val="center"/>
                  <w:hideMark/>
                </w:tcPr>
                <w:p w14:paraId="56F030E4" w14:textId="77777777" w:rsidR="00C4124D" w:rsidRDefault="00C4124D" w:rsidP="00C4124D">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579090FD"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8</w:t>
                  </w:r>
                </w:p>
              </w:tc>
            </w:tr>
            <w:tr w:rsidR="00C4124D" w14:paraId="11C3CB0F" w14:textId="77777777" w:rsidTr="002F10D1">
              <w:trPr>
                <w:trHeight w:val="300"/>
              </w:trPr>
              <w:tc>
                <w:tcPr>
                  <w:tcW w:w="547" w:type="dxa"/>
                  <w:tcBorders>
                    <w:top w:val="nil"/>
                    <w:left w:val="nil"/>
                    <w:bottom w:val="nil"/>
                    <w:right w:val="nil"/>
                  </w:tcBorders>
                  <w:shd w:val="clear" w:color="auto" w:fill="auto"/>
                  <w:noWrap/>
                  <w:vAlign w:val="bottom"/>
                  <w:hideMark/>
                </w:tcPr>
                <w:p w14:paraId="72EFC0CE"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2C48795" w14:textId="77777777" w:rsidR="00C4124D" w:rsidRDefault="00C4124D" w:rsidP="00C4124D">
                  <w:pPr>
                    <w:rPr>
                      <w:rFonts w:ascii="Calibri" w:hAnsi="Calibri"/>
                      <w:color w:val="000000"/>
                      <w:sz w:val="22"/>
                      <w:szCs w:val="22"/>
                    </w:rPr>
                  </w:pPr>
                  <w:r>
                    <w:rPr>
                      <w:rFonts w:ascii="Calibri" w:hAnsi="Calibri"/>
                      <w:color w:val="000000"/>
                      <w:sz w:val="22"/>
                      <w:szCs w:val="22"/>
                    </w:rPr>
                    <w:t>4.5</w:t>
                  </w:r>
                </w:p>
              </w:tc>
              <w:tc>
                <w:tcPr>
                  <w:tcW w:w="4482" w:type="dxa"/>
                  <w:gridSpan w:val="2"/>
                  <w:tcBorders>
                    <w:top w:val="nil"/>
                    <w:left w:val="nil"/>
                    <w:bottom w:val="nil"/>
                    <w:right w:val="nil"/>
                  </w:tcBorders>
                  <w:shd w:val="clear" w:color="auto" w:fill="auto"/>
                  <w:noWrap/>
                  <w:vAlign w:val="center"/>
                  <w:hideMark/>
                </w:tcPr>
                <w:p w14:paraId="78925CEE" w14:textId="77777777" w:rsidR="00C4124D" w:rsidRDefault="00C4124D" w:rsidP="00C4124D">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220415C4"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8</w:t>
                  </w:r>
                </w:p>
              </w:tc>
            </w:tr>
            <w:tr w:rsidR="00C4124D" w14:paraId="12629FE7" w14:textId="77777777" w:rsidTr="002F10D1">
              <w:trPr>
                <w:trHeight w:val="300"/>
              </w:trPr>
              <w:tc>
                <w:tcPr>
                  <w:tcW w:w="547" w:type="dxa"/>
                  <w:tcBorders>
                    <w:top w:val="nil"/>
                    <w:left w:val="nil"/>
                    <w:bottom w:val="nil"/>
                    <w:right w:val="nil"/>
                  </w:tcBorders>
                  <w:shd w:val="clear" w:color="auto" w:fill="auto"/>
                  <w:noWrap/>
                  <w:vAlign w:val="bottom"/>
                  <w:hideMark/>
                </w:tcPr>
                <w:p w14:paraId="1F51C389"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EC72461" w14:textId="77777777" w:rsidR="00C4124D" w:rsidRDefault="00C4124D" w:rsidP="00C4124D">
                  <w:pPr>
                    <w:rPr>
                      <w:rFonts w:ascii="Calibri" w:hAnsi="Calibri"/>
                      <w:color w:val="000000"/>
                      <w:sz w:val="22"/>
                      <w:szCs w:val="22"/>
                    </w:rPr>
                  </w:pPr>
                  <w:r>
                    <w:rPr>
                      <w:rFonts w:ascii="Calibri" w:hAnsi="Calibri"/>
                      <w:color w:val="000000"/>
                      <w:sz w:val="22"/>
                      <w:szCs w:val="22"/>
                    </w:rPr>
                    <w:t>4.6</w:t>
                  </w:r>
                </w:p>
              </w:tc>
              <w:tc>
                <w:tcPr>
                  <w:tcW w:w="4482" w:type="dxa"/>
                  <w:gridSpan w:val="2"/>
                  <w:tcBorders>
                    <w:top w:val="nil"/>
                    <w:left w:val="nil"/>
                    <w:bottom w:val="nil"/>
                    <w:right w:val="nil"/>
                  </w:tcBorders>
                  <w:shd w:val="clear" w:color="auto" w:fill="auto"/>
                  <w:noWrap/>
                  <w:vAlign w:val="center"/>
                  <w:hideMark/>
                </w:tcPr>
                <w:p w14:paraId="58CB6D43" w14:textId="77777777" w:rsidR="00C4124D" w:rsidRDefault="00C4124D" w:rsidP="00C4124D">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0F2B7CE2"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8</w:t>
                  </w:r>
                </w:p>
              </w:tc>
            </w:tr>
            <w:tr w:rsidR="00C4124D" w14:paraId="7A3794F6" w14:textId="77777777" w:rsidTr="002F10D1">
              <w:trPr>
                <w:trHeight w:val="300"/>
              </w:trPr>
              <w:tc>
                <w:tcPr>
                  <w:tcW w:w="547" w:type="dxa"/>
                  <w:tcBorders>
                    <w:top w:val="nil"/>
                    <w:left w:val="nil"/>
                    <w:bottom w:val="nil"/>
                    <w:right w:val="nil"/>
                  </w:tcBorders>
                  <w:shd w:val="clear" w:color="auto" w:fill="auto"/>
                  <w:noWrap/>
                  <w:vAlign w:val="bottom"/>
                  <w:hideMark/>
                </w:tcPr>
                <w:p w14:paraId="6C9D246D" w14:textId="77777777" w:rsidR="00C4124D" w:rsidRDefault="00C4124D" w:rsidP="00C4124D">
                  <w:pPr>
                    <w:rPr>
                      <w:rFonts w:ascii="Calibri" w:hAnsi="Calibri"/>
                      <w:color w:val="000000"/>
                      <w:sz w:val="22"/>
                      <w:szCs w:val="22"/>
                    </w:rPr>
                  </w:pPr>
                  <w:r>
                    <w:rPr>
                      <w:rFonts w:ascii="Calibri" w:hAnsi="Calibri"/>
                      <w:color w:val="000000"/>
                      <w:sz w:val="22"/>
                      <w:szCs w:val="22"/>
                    </w:rPr>
                    <w:t>5</w:t>
                  </w:r>
                </w:p>
              </w:tc>
              <w:tc>
                <w:tcPr>
                  <w:tcW w:w="5190" w:type="dxa"/>
                  <w:gridSpan w:val="3"/>
                  <w:tcBorders>
                    <w:top w:val="nil"/>
                    <w:left w:val="nil"/>
                    <w:bottom w:val="nil"/>
                    <w:right w:val="nil"/>
                  </w:tcBorders>
                  <w:shd w:val="clear" w:color="auto" w:fill="auto"/>
                  <w:noWrap/>
                  <w:vAlign w:val="center"/>
                  <w:hideMark/>
                </w:tcPr>
                <w:p w14:paraId="638B5CB0"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746FA5C6"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10</w:t>
                  </w:r>
                </w:p>
              </w:tc>
            </w:tr>
            <w:tr w:rsidR="00C4124D" w14:paraId="065CE7A0" w14:textId="77777777" w:rsidTr="002F10D1">
              <w:trPr>
                <w:trHeight w:val="300"/>
              </w:trPr>
              <w:tc>
                <w:tcPr>
                  <w:tcW w:w="547" w:type="dxa"/>
                  <w:tcBorders>
                    <w:top w:val="nil"/>
                    <w:left w:val="nil"/>
                    <w:bottom w:val="nil"/>
                    <w:right w:val="nil"/>
                  </w:tcBorders>
                  <w:shd w:val="clear" w:color="auto" w:fill="auto"/>
                  <w:noWrap/>
                  <w:vAlign w:val="bottom"/>
                  <w:hideMark/>
                </w:tcPr>
                <w:p w14:paraId="415AA145" w14:textId="77777777" w:rsidR="00C4124D" w:rsidRDefault="00C4124D" w:rsidP="00C4124D">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CE9B04D" w14:textId="77777777" w:rsidR="00C4124D" w:rsidRDefault="00C4124D" w:rsidP="00C4124D">
                  <w:pPr>
                    <w:rPr>
                      <w:rFonts w:ascii="Calibri" w:hAnsi="Calibri"/>
                      <w:color w:val="000000"/>
                      <w:sz w:val="22"/>
                      <w:szCs w:val="22"/>
                    </w:rPr>
                  </w:pPr>
                  <w:r>
                    <w:rPr>
                      <w:rFonts w:ascii="Calibri" w:hAnsi="Calibri"/>
                      <w:color w:val="000000"/>
                      <w:sz w:val="22"/>
                      <w:szCs w:val="22"/>
                    </w:rPr>
                    <w:t>5.1</w:t>
                  </w:r>
                </w:p>
              </w:tc>
              <w:tc>
                <w:tcPr>
                  <w:tcW w:w="4482" w:type="dxa"/>
                  <w:gridSpan w:val="2"/>
                  <w:tcBorders>
                    <w:top w:val="nil"/>
                    <w:left w:val="nil"/>
                    <w:bottom w:val="nil"/>
                    <w:right w:val="nil"/>
                  </w:tcBorders>
                  <w:shd w:val="clear" w:color="auto" w:fill="auto"/>
                  <w:noWrap/>
                  <w:vAlign w:val="center"/>
                  <w:hideMark/>
                </w:tcPr>
                <w:p w14:paraId="3C1D6AD1" w14:textId="77777777" w:rsidR="00C4124D" w:rsidRDefault="00C4124D" w:rsidP="00C4124D">
                  <w:pPr>
                    <w:rPr>
                      <w:rFonts w:ascii="Arial" w:hAnsi="Arial" w:cs="Arial"/>
                      <w:i/>
                      <w:iCs/>
                      <w:color w:val="333399"/>
                      <w:sz w:val="20"/>
                      <w:szCs w:val="20"/>
                    </w:rPr>
                  </w:pPr>
                  <w:r>
                    <w:rPr>
                      <w:rFonts w:ascii="Arial" w:hAnsi="Arial" w:cs="Arial"/>
                      <w:i/>
                      <w:iCs/>
                      <w:noProof/>
                      <w:color w:val="333399"/>
                      <w:sz w:val="20"/>
                      <w:szCs w:val="20"/>
                    </w:rPr>
                    <w:t>Описание отрасли</w:t>
                  </w:r>
                </w:p>
              </w:tc>
              <w:tc>
                <w:tcPr>
                  <w:tcW w:w="960" w:type="dxa"/>
                  <w:tcBorders>
                    <w:top w:val="nil"/>
                    <w:left w:val="nil"/>
                    <w:bottom w:val="nil"/>
                    <w:right w:val="nil"/>
                  </w:tcBorders>
                  <w:shd w:val="clear" w:color="auto" w:fill="auto"/>
                  <w:noWrap/>
                  <w:vAlign w:val="center"/>
                  <w:hideMark/>
                </w:tcPr>
                <w:p w14:paraId="4F979C88"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10</w:t>
                  </w:r>
                </w:p>
              </w:tc>
            </w:tr>
            <w:tr w:rsidR="00C4124D" w14:paraId="05EB8E2D" w14:textId="77777777" w:rsidTr="002F10D1">
              <w:trPr>
                <w:trHeight w:val="300"/>
              </w:trPr>
              <w:tc>
                <w:tcPr>
                  <w:tcW w:w="547" w:type="dxa"/>
                  <w:tcBorders>
                    <w:top w:val="nil"/>
                    <w:left w:val="nil"/>
                    <w:bottom w:val="nil"/>
                    <w:right w:val="nil"/>
                  </w:tcBorders>
                  <w:shd w:val="clear" w:color="auto" w:fill="auto"/>
                  <w:noWrap/>
                  <w:vAlign w:val="bottom"/>
                  <w:hideMark/>
                </w:tcPr>
                <w:p w14:paraId="352E8CEA"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5E0B1CA" w14:textId="77777777" w:rsidR="00C4124D" w:rsidRDefault="00C4124D" w:rsidP="00C4124D">
                  <w:pPr>
                    <w:rPr>
                      <w:sz w:val="20"/>
                      <w:szCs w:val="20"/>
                    </w:rPr>
                  </w:pPr>
                </w:p>
              </w:tc>
              <w:tc>
                <w:tcPr>
                  <w:tcW w:w="851" w:type="dxa"/>
                  <w:tcBorders>
                    <w:top w:val="nil"/>
                    <w:left w:val="nil"/>
                    <w:bottom w:val="nil"/>
                    <w:right w:val="nil"/>
                  </w:tcBorders>
                  <w:shd w:val="clear" w:color="auto" w:fill="auto"/>
                  <w:noWrap/>
                  <w:vAlign w:val="bottom"/>
                  <w:hideMark/>
                </w:tcPr>
                <w:p w14:paraId="281188D9" w14:textId="77777777" w:rsidR="00C4124D" w:rsidRDefault="00C4124D" w:rsidP="00C4124D">
                  <w:pPr>
                    <w:rPr>
                      <w:rFonts w:ascii="Calibri" w:hAnsi="Calibri"/>
                      <w:color w:val="000000"/>
                      <w:sz w:val="22"/>
                      <w:szCs w:val="22"/>
                    </w:rPr>
                  </w:pPr>
                  <w:r>
                    <w:rPr>
                      <w:rFonts w:ascii="Calibri" w:hAnsi="Calibri"/>
                      <w:color w:val="000000"/>
                      <w:sz w:val="22"/>
                      <w:szCs w:val="22"/>
                    </w:rPr>
                    <w:t>5.1.1</w:t>
                  </w:r>
                </w:p>
              </w:tc>
              <w:tc>
                <w:tcPr>
                  <w:tcW w:w="3631" w:type="dxa"/>
                  <w:tcBorders>
                    <w:top w:val="nil"/>
                    <w:left w:val="nil"/>
                    <w:bottom w:val="nil"/>
                    <w:right w:val="nil"/>
                  </w:tcBorders>
                  <w:shd w:val="clear" w:color="auto" w:fill="auto"/>
                  <w:noWrap/>
                  <w:vAlign w:val="center"/>
                  <w:hideMark/>
                </w:tcPr>
                <w:p w14:paraId="43BBA6FA" w14:textId="77777777" w:rsidR="00C4124D" w:rsidRDefault="00C4124D" w:rsidP="00C4124D">
                  <w:pPr>
                    <w:rPr>
                      <w:rFonts w:ascii="Arial" w:hAnsi="Arial" w:cs="Arial"/>
                      <w:color w:val="000080"/>
                      <w:sz w:val="20"/>
                      <w:szCs w:val="20"/>
                    </w:rPr>
                  </w:pPr>
                  <w:r>
                    <w:rPr>
                      <w:rFonts w:ascii="Arial" w:hAnsi="Arial" w:cs="Arial"/>
                      <w:noProof/>
                      <w:color w:val="000080"/>
                      <w:sz w:val="20"/>
                      <w:szCs w:val="20"/>
                    </w:rPr>
                    <w:t>Влияющий рынок. Рынок препаратов для косметических инъекций.</w:t>
                  </w:r>
                </w:p>
              </w:tc>
              <w:tc>
                <w:tcPr>
                  <w:tcW w:w="960" w:type="dxa"/>
                  <w:tcBorders>
                    <w:top w:val="nil"/>
                    <w:left w:val="nil"/>
                    <w:bottom w:val="nil"/>
                    <w:right w:val="nil"/>
                  </w:tcBorders>
                  <w:shd w:val="clear" w:color="auto" w:fill="auto"/>
                  <w:noWrap/>
                  <w:vAlign w:val="center"/>
                  <w:hideMark/>
                </w:tcPr>
                <w:p w14:paraId="11019CDD" w14:textId="77777777" w:rsidR="00C4124D" w:rsidRDefault="00C4124D" w:rsidP="00C4124D">
                  <w:pPr>
                    <w:rPr>
                      <w:rFonts w:ascii="Arial" w:hAnsi="Arial" w:cs="Arial"/>
                      <w:color w:val="000080"/>
                      <w:sz w:val="20"/>
                      <w:szCs w:val="20"/>
                    </w:rPr>
                  </w:pPr>
                  <w:r>
                    <w:rPr>
                      <w:rFonts w:ascii="Arial" w:hAnsi="Arial" w:cs="Arial"/>
                      <w:noProof/>
                      <w:color w:val="000080"/>
                      <w:sz w:val="20"/>
                      <w:szCs w:val="20"/>
                    </w:rPr>
                    <w:t>12</w:t>
                  </w:r>
                </w:p>
              </w:tc>
            </w:tr>
            <w:tr w:rsidR="00C4124D" w14:paraId="42A7ADB5" w14:textId="77777777" w:rsidTr="002F10D1">
              <w:trPr>
                <w:trHeight w:val="300"/>
              </w:trPr>
              <w:tc>
                <w:tcPr>
                  <w:tcW w:w="547" w:type="dxa"/>
                  <w:tcBorders>
                    <w:top w:val="nil"/>
                    <w:left w:val="nil"/>
                    <w:bottom w:val="nil"/>
                    <w:right w:val="nil"/>
                  </w:tcBorders>
                  <w:shd w:val="clear" w:color="auto" w:fill="auto"/>
                  <w:noWrap/>
                  <w:vAlign w:val="bottom"/>
                  <w:hideMark/>
                </w:tcPr>
                <w:p w14:paraId="38B9F731" w14:textId="77777777" w:rsidR="00C4124D" w:rsidRDefault="00C4124D" w:rsidP="00C4124D">
                  <w:pPr>
                    <w:rPr>
                      <w:rFonts w:ascii="Calibri" w:hAnsi="Calibri"/>
                      <w:color w:val="000000"/>
                      <w:sz w:val="22"/>
                      <w:szCs w:val="22"/>
                    </w:rPr>
                  </w:pPr>
                  <w:r>
                    <w:rPr>
                      <w:rFonts w:ascii="Calibri" w:hAnsi="Calibri"/>
                      <w:color w:val="000000"/>
                      <w:sz w:val="22"/>
                      <w:szCs w:val="22"/>
                    </w:rPr>
                    <w:t>6</w:t>
                  </w:r>
                </w:p>
              </w:tc>
              <w:tc>
                <w:tcPr>
                  <w:tcW w:w="5190" w:type="dxa"/>
                  <w:gridSpan w:val="3"/>
                  <w:tcBorders>
                    <w:top w:val="nil"/>
                    <w:left w:val="nil"/>
                    <w:bottom w:val="nil"/>
                    <w:right w:val="nil"/>
                  </w:tcBorders>
                  <w:shd w:val="clear" w:color="auto" w:fill="auto"/>
                  <w:noWrap/>
                  <w:vAlign w:val="center"/>
                  <w:hideMark/>
                </w:tcPr>
                <w:p w14:paraId="514CD809"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0C08A4D1"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20</w:t>
                  </w:r>
                </w:p>
              </w:tc>
            </w:tr>
            <w:tr w:rsidR="00C4124D" w14:paraId="366F7102" w14:textId="77777777" w:rsidTr="002F10D1">
              <w:trPr>
                <w:trHeight w:val="300"/>
              </w:trPr>
              <w:tc>
                <w:tcPr>
                  <w:tcW w:w="547" w:type="dxa"/>
                  <w:tcBorders>
                    <w:top w:val="nil"/>
                    <w:left w:val="nil"/>
                    <w:bottom w:val="nil"/>
                    <w:right w:val="nil"/>
                  </w:tcBorders>
                  <w:shd w:val="clear" w:color="auto" w:fill="auto"/>
                  <w:noWrap/>
                  <w:vAlign w:val="bottom"/>
                  <w:hideMark/>
                </w:tcPr>
                <w:p w14:paraId="35BFD30B" w14:textId="77777777" w:rsidR="00C4124D" w:rsidRDefault="00C4124D" w:rsidP="00C4124D">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1B10221E" w14:textId="77777777" w:rsidR="00C4124D" w:rsidRDefault="00C4124D" w:rsidP="00C4124D">
                  <w:pPr>
                    <w:rPr>
                      <w:rFonts w:ascii="Calibri" w:hAnsi="Calibri"/>
                      <w:color w:val="000000"/>
                      <w:sz w:val="22"/>
                      <w:szCs w:val="22"/>
                    </w:rPr>
                  </w:pPr>
                  <w:r>
                    <w:rPr>
                      <w:rFonts w:ascii="Calibri" w:hAnsi="Calibri"/>
                      <w:color w:val="000000"/>
                      <w:sz w:val="22"/>
                      <w:szCs w:val="22"/>
                    </w:rPr>
                    <w:t>6.1</w:t>
                  </w:r>
                </w:p>
              </w:tc>
              <w:tc>
                <w:tcPr>
                  <w:tcW w:w="4482" w:type="dxa"/>
                  <w:gridSpan w:val="2"/>
                  <w:tcBorders>
                    <w:top w:val="nil"/>
                    <w:left w:val="nil"/>
                    <w:bottom w:val="nil"/>
                    <w:right w:val="nil"/>
                  </w:tcBorders>
                  <w:shd w:val="clear" w:color="auto" w:fill="auto"/>
                  <w:noWrap/>
                  <w:vAlign w:val="center"/>
                  <w:hideMark/>
                </w:tcPr>
                <w:p w14:paraId="54F99990" w14:textId="77777777" w:rsidR="00C4124D" w:rsidRDefault="00C4124D" w:rsidP="00C4124D">
                  <w:pPr>
                    <w:rPr>
                      <w:rFonts w:ascii="Arial" w:hAnsi="Arial" w:cs="Arial"/>
                      <w:i/>
                      <w:iCs/>
                      <w:color w:val="333399"/>
                      <w:sz w:val="20"/>
                      <w:szCs w:val="20"/>
                    </w:rPr>
                  </w:pPr>
                  <w:r>
                    <w:rPr>
                      <w:rFonts w:ascii="Arial" w:hAnsi="Arial" w:cs="Arial"/>
                      <w:i/>
                      <w:iCs/>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0684F9CA"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20</w:t>
                  </w:r>
                </w:p>
              </w:tc>
            </w:tr>
            <w:tr w:rsidR="00C4124D" w14:paraId="1DF7596C" w14:textId="77777777" w:rsidTr="002F10D1">
              <w:trPr>
                <w:trHeight w:val="300"/>
              </w:trPr>
              <w:tc>
                <w:tcPr>
                  <w:tcW w:w="547" w:type="dxa"/>
                  <w:tcBorders>
                    <w:top w:val="nil"/>
                    <w:left w:val="nil"/>
                    <w:bottom w:val="nil"/>
                    <w:right w:val="nil"/>
                  </w:tcBorders>
                  <w:shd w:val="clear" w:color="auto" w:fill="auto"/>
                  <w:noWrap/>
                  <w:vAlign w:val="bottom"/>
                  <w:hideMark/>
                </w:tcPr>
                <w:p w14:paraId="6C4F1D29"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21E9A04" w14:textId="77777777" w:rsidR="00C4124D" w:rsidRDefault="00C4124D" w:rsidP="00C4124D">
                  <w:pPr>
                    <w:rPr>
                      <w:sz w:val="20"/>
                      <w:szCs w:val="20"/>
                    </w:rPr>
                  </w:pPr>
                </w:p>
              </w:tc>
              <w:tc>
                <w:tcPr>
                  <w:tcW w:w="851" w:type="dxa"/>
                  <w:tcBorders>
                    <w:top w:val="nil"/>
                    <w:left w:val="nil"/>
                    <w:bottom w:val="nil"/>
                    <w:right w:val="nil"/>
                  </w:tcBorders>
                  <w:shd w:val="clear" w:color="auto" w:fill="auto"/>
                  <w:noWrap/>
                  <w:vAlign w:val="bottom"/>
                  <w:hideMark/>
                </w:tcPr>
                <w:p w14:paraId="5B07697D" w14:textId="77777777" w:rsidR="00C4124D" w:rsidRDefault="00C4124D" w:rsidP="00C4124D">
                  <w:pPr>
                    <w:rPr>
                      <w:rFonts w:ascii="Calibri" w:hAnsi="Calibri"/>
                      <w:color w:val="000000"/>
                      <w:sz w:val="22"/>
                      <w:szCs w:val="22"/>
                    </w:rPr>
                  </w:pPr>
                  <w:r>
                    <w:rPr>
                      <w:rFonts w:ascii="Calibri" w:hAnsi="Calibri"/>
                      <w:color w:val="000000"/>
                      <w:sz w:val="22"/>
                      <w:szCs w:val="22"/>
                    </w:rPr>
                    <w:t>6.1.1</w:t>
                  </w:r>
                </w:p>
              </w:tc>
              <w:tc>
                <w:tcPr>
                  <w:tcW w:w="3631" w:type="dxa"/>
                  <w:tcBorders>
                    <w:top w:val="nil"/>
                    <w:left w:val="nil"/>
                    <w:bottom w:val="nil"/>
                    <w:right w:val="nil"/>
                  </w:tcBorders>
                  <w:shd w:val="clear" w:color="auto" w:fill="auto"/>
                  <w:noWrap/>
                  <w:vAlign w:val="center"/>
                  <w:hideMark/>
                </w:tcPr>
                <w:p w14:paraId="4666B8AD" w14:textId="77777777" w:rsidR="00C4124D" w:rsidRDefault="00C4124D" w:rsidP="00C4124D">
                  <w:pPr>
                    <w:rPr>
                      <w:rFonts w:ascii="Arial" w:hAnsi="Arial" w:cs="Arial"/>
                      <w:color w:val="333399"/>
                      <w:sz w:val="20"/>
                      <w:szCs w:val="20"/>
                    </w:rPr>
                  </w:pPr>
                  <w:r>
                    <w:rPr>
                      <w:rFonts w:ascii="Arial" w:hAnsi="Arial" w:cs="Arial"/>
                      <w:noProof/>
                      <w:color w:val="333399"/>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6DC79DA3" w14:textId="77777777" w:rsidR="00C4124D" w:rsidRDefault="00C4124D" w:rsidP="00C4124D">
                  <w:pPr>
                    <w:rPr>
                      <w:rFonts w:ascii="Arial" w:hAnsi="Arial" w:cs="Arial"/>
                      <w:color w:val="000080"/>
                      <w:sz w:val="20"/>
                      <w:szCs w:val="20"/>
                    </w:rPr>
                  </w:pPr>
                  <w:r>
                    <w:rPr>
                      <w:rFonts w:ascii="Arial" w:hAnsi="Arial" w:cs="Arial"/>
                      <w:noProof/>
                      <w:color w:val="000080"/>
                      <w:sz w:val="20"/>
                      <w:szCs w:val="20"/>
                    </w:rPr>
                    <w:t>22</w:t>
                  </w:r>
                </w:p>
              </w:tc>
            </w:tr>
            <w:tr w:rsidR="00C4124D" w14:paraId="2DBB7541" w14:textId="77777777" w:rsidTr="002F10D1">
              <w:trPr>
                <w:trHeight w:val="300"/>
              </w:trPr>
              <w:tc>
                <w:tcPr>
                  <w:tcW w:w="547" w:type="dxa"/>
                  <w:tcBorders>
                    <w:top w:val="nil"/>
                    <w:left w:val="nil"/>
                    <w:bottom w:val="nil"/>
                    <w:right w:val="nil"/>
                  </w:tcBorders>
                  <w:shd w:val="clear" w:color="auto" w:fill="auto"/>
                  <w:noWrap/>
                  <w:vAlign w:val="bottom"/>
                  <w:hideMark/>
                </w:tcPr>
                <w:p w14:paraId="352E4A98" w14:textId="77777777" w:rsidR="00C4124D" w:rsidRDefault="00C4124D" w:rsidP="00C4124D">
                  <w:pPr>
                    <w:rPr>
                      <w:rFonts w:ascii="Calibri" w:hAnsi="Calibri"/>
                      <w:color w:val="000000"/>
                      <w:sz w:val="22"/>
                      <w:szCs w:val="22"/>
                    </w:rPr>
                  </w:pPr>
                  <w:r>
                    <w:rPr>
                      <w:rFonts w:ascii="Calibri" w:hAnsi="Calibri"/>
                      <w:color w:val="000000"/>
                      <w:sz w:val="22"/>
                      <w:szCs w:val="22"/>
                    </w:rPr>
                    <w:t>7</w:t>
                  </w:r>
                </w:p>
              </w:tc>
              <w:tc>
                <w:tcPr>
                  <w:tcW w:w="5190" w:type="dxa"/>
                  <w:gridSpan w:val="3"/>
                  <w:tcBorders>
                    <w:top w:val="nil"/>
                    <w:left w:val="nil"/>
                    <w:bottom w:val="nil"/>
                    <w:right w:val="nil"/>
                  </w:tcBorders>
                  <w:shd w:val="clear" w:color="auto" w:fill="auto"/>
                  <w:noWrap/>
                  <w:vAlign w:val="center"/>
                  <w:hideMark/>
                </w:tcPr>
                <w:p w14:paraId="4BF07233"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6259E538"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24</w:t>
                  </w:r>
                </w:p>
              </w:tc>
            </w:tr>
            <w:tr w:rsidR="00C4124D" w14:paraId="42D592F0" w14:textId="77777777" w:rsidTr="002F10D1">
              <w:trPr>
                <w:trHeight w:val="300"/>
              </w:trPr>
              <w:tc>
                <w:tcPr>
                  <w:tcW w:w="547" w:type="dxa"/>
                  <w:tcBorders>
                    <w:top w:val="nil"/>
                    <w:left w:val="nil"/>
                    <w:bottom w:val="nil"/>
                    <w:right w:val="nil"/>
                  </w:tcBorders>
                  <w:shd w:val="clear" w:color="auto" w:fill="auto"/>
                  <w:noWrap/>
                  <w:vAlign w:val="bottom"/>
                  <w:hideMark/>
                </w:tcPr>
                <w:p w14:paraId="0B8E0546" w14:textId="77777777" w:rsidR="00C4124D" w:rsidRDefault="00C4124D" w:rsidP="00C4124D">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626D0CEB" w14:textId="77777777" w:rsidR="00C4124D" w:rsidRDefault="00C4124D" w:rsidP="00C4124D">
                  <w:pPr>
                    <w:rPr>
                      <w:rFonts w:ascii="Calibri" w:hAnsi="Calibri"/>
                      <w:color w:val="000000"/>
                      <w:sz w:val="22"/>
                      <w:szCs w:val="22"/>
                    </w:rPr>
                  </w:pPr>
                  <w:r>
                    <w:rPr>
                      <w:rFonts w:ascii="Calibri" w:hAnsi="Calibri"/>
                      <w:color w:val="000000"/>
                      <w:sz w:val="22"/>
                      <w:szCs w:val="22"/>
                    </w:rPr>
                    <w:t>7.1</w:t>
                  </w:r>
                </w:p>
              </w:tc>
              <w:tc>
                <w:tcPr>
                  <w:tcW w:w="4482" w:type="dxa"/>
                  <w:gridSpan w:val="2"/>
                  <w:tcBorders>
                    <w:top w:val="nil"/>
                    <w:left w:val="nil"/>
                    <w:bottom w:val="nil"/>
                    <w:right w:val="nil"/>
                  </w:tcBorders>
                  <w:shd w:val="clear" w:color="auto" w:fill="auto"/>
                  <w:noWrap/>
                  <w:vAlign w:val="center"/>
                  <w:hideMark/>
                </w:tcPr>
                <w:p w14:paraId="0C957FF2"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Объем рынка эстетической медицины</w:t>
                  </w:r>
                </w:p>
              </w:tc>
              <w:tc>
                <w:tcPr>
                  <w:tcW w:w="960" w:type="dxa"/>
                  <w:tcBorders>
                    <w:top w:val="nil"/>
                    <w:left w:val="nil"/>
                    <w:bottom w:val="nil"/>
                    <w:right w:val="nil"/>
                  </w:tcBorders>
                  <w:shd w:val="clear" w:color="auto" w:fill="auto"/>
                  <w:noWrap/>
                  <w:vAlign w:val="center"/>
                  <w:hideMark/>
                </w:tcPr>
                <w:p w14:paraId="5E5A21F5"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24</w:t>
                  </w:r>
                </w:p>
              </w:tc>
            </w:tr>
            <w:tr w:rsidR="00C4124D" w14:paraId="38A86CD8" w14:textId="77777777" w:rsidTr="002F10D1">
              <w:trPr>
                <w:trHeight w:val="300"/>
              </w:trPr>
              <w:tc>
                <w:tcPr>
                  <w:tcW w:w="547" w:type="dxa"/>
                  <w:tcBorders>
                    <w:top w:val="nil"/>
                    <w:left w:val="nil"/>
                    <w:bottom w:val="nil"/>
                    <w:right w:val="nil"/>
                  </w:tcBorders>
                  <w:shd w:val="clear" w:color="auto" w:fill="auto"/>
                  <w:noWrap/>
                  <w:vAlign w:val="bottom"/>
                  <w:hideMark/>
                </w:tcPr>
                <w:p w14:paraId="1672E059"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0158408" w14:textId="77777777" w:rsidR="00C4124D" w:rsidRDefault="00C4124D" w:rsidP="00C4124D">
                  <w:pPr>
                    <w:rPr>
                      <w:sz w:val="20"/>
                      <w:szCs w:val="20"/>
                    </w:rPr>
                  </w:pPr>
                </w:p>
              </w:tc>
              <w:tc>
                <w:tcPr>
                  <w:tcW w:w="851" w:type="dxa"/>
                  <w:tcBorders>
                    <w:top w:val="nil"/>
                    <w:left w:val="nil"/>
                    <w:bottom w:val="nil"/>
                    <w:right w:val="nil"/>
                  </w:tcBorders>
                  <w:shd w:val="clear" w:color="auto" w:fill="auto"/>
                  <w:noWrap/>
                  <w:vAlign w:val="bottom"/>
                  <w:hideMark/>
                </w:tcPr>
                <w:p w14:paraId="64770E9B" w14:textId="77777777" w:rsidR="00C4124D" w:rsidRDefault="00C4124D" w:rsidP="00C4124D">
                  <w:pPr>
                    <w:rPr>
                      <w:rFonts w:ascii="Calibri" w:hAnsi="Calibri"/>
                      <w:color w:val="000000"/>
                      <w:sz w:val="22"/>
                      <w:szCs w:val="22"/>
                    </w:rPr>
                  </w:pPr>
                  <w:r>
                    <w:rPr>
                      <w:rFonts w:ascii="Calibri" w:hAnsi="Calibri"/>
                      <w:color w:val="000000"/>
                      <w:sz w:val="22"/>
                      <w:szCs w:val="22"/>
                    </w:rPr>
                    <w:t>7.1.1</w:t>
                  </w:r>
                </w:p>
              </w:tc>
              <w:tc>
                <w:tcPr>
                  <w:tcW w:w="3631" w:type="dxa"/>
                  <w:tcBorders>
                    <w:top w:val="nil"/>
                    <w:left w:val="nil"/>
                    <w:bottom w:val="nil"/>
                    <w:right w:val="nil"/>
                  </w:tcBorders>
                  <w:shd w:val="clear" w:color="auto" w:fill="auto"/>
                  <w:noWrap/>
                  <w:vAlign w:val="center"/>
                  <w:hideMark/>
                </w:tcPr>
                <w:p w14:paraId="46783922" w14:textId="77777777" w:rsidR="00C4124D" w:rsidRDefault="00C4124D" w:rsidP="00C4124D">
                  <w:pPr>
                    <w:rPr>
                      <w:rFonts w:ascii="Arial" w:hAnsi="Arial" w:cs="Arial"/>
                      <w:color w:val="000080"/>
                      <w:sz w:val="20"/>
                      <w:szCs w:val="20"/>
                    </w:rPr>
                  </w:pPr>
                  <w:r>
                    <w:rPr>
                      <w:rFonts w:ascii="Arial" w:hAnsi="Arial" w:cs="Arial"/>
                      <w:noProof/>
                      <w:color w:val="000080"/>
                      <w:sz w:val="20"/>
                      <w:szCs w:val="20"/>
                    </w:rPr>
                    <w:t>Рынок пластической хирургии</w:t>
                  </w:r>
                </w:p>
              </w:tc>
              <w:tc>
                <w:tcPr>
                  <w:tcW w:w="960" w:type="dxa"/>
                  <w:tcBorders>
                    <w:top w:val="nil"/>
                    <w:left w:val="nil"/>
                    <w:bottom w:val="nil"/>
                    <w:right w:val="nil"/>
                  </w:tcBorders>
                  <w:shd w:val="clear" w:color="auto" w:fill="auto"/>
                  <w:noWrap/>
                  <w:vAlign w:val="center"/>
                  <w:hideMark/>
                </w:tcPr>
                <w:p w14:paraId="0D34AB9D" w14:textId="77777777" w:rsidR="00C4124D" w:rsidRDefault="00C4124D" w:rsidP="00C4124D">
                  <w:pPr>
                    <w:rPr>
                      <w:rFonts w:ascii="Arial" w:hAnsi="Arial" w:cs="Arial"/>
                      <w:color w:val="000080"/>
                      <w:sz w:val="20"/>
                      <w:szCs w:val="20"/>
                    </w:rPr>
                  </w:pPr>
                  <w:r>
                    <w:rPr>
                      <w:rFonts w:ascii="Arial" w:hAnsi="Arial" w:cs="Arial"/>
                      <w:noProof/>
                      <w:color w:val="000080"/>
                      <w:sz w:val="20"/>
                      <w:szCs w:val="20"/>
                    </w:rPr>
                    <w:t>24</w:t>
                  </w:r>
                </w:p>
              </w:tc>
            </w:tr>
            <w:tr w:rsidR="00C4124D" w14:paraId="6CF6DDE3" w14:textId="77777777" w:rsidTr="002F10D1">
              <w:trPr>
                <w:trHeight w:val="300"/>
              </w:trPr>
              <w:tc>
                <w:tcPr>
                  <w:tcW w:w="547" w:type="dxa"/>
                  <w:tcBorders>
                    <w:top w:val="nil"/>
                    <w:left w:val="nil"/>
                    <w:bottom w:val="nil"/>
                    <w:right w:val="nil"/>
                  </w:tcBorders>
                  <w:shd w:val="clear" w:color="auto" w:fill="auto"/>
                  <w:noWrap/>
                  <w:vAlign w:val="bottom"/>
                  <w:hideMark/>
                </w:tcPr>
                <w:p w14:paraId="306466E6" w14:textId="77777777" w:rsidR="00C4124D" w:rsidRDefault="00C4124D" w:rsidP="00C4124D">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6CC4386" w14:textId="77777777" w:rsidR="00C4124D" w:rsidRDefault="00C4124D" w:rsidP="00C4124D">
                  <w:pPr>
                    <w:rPr>
                      <w:sz w:val="20"/>
                      <w:szCs w:val="20"/>
                    </w:rPr>
                  </w:pPr>
                </w:p>
              </w:tc>
              <w:tc>
                <w:tcPr>
                  <w:tcW w:w="851" w:type="dxa"/>
                  <w:tcBorders>
                    <w:top w:val="nil"/>
                    <w:left w:val="nil"/>
                    <w:bottom w:val="nil"/>
                    <w:right w:val="nil"/>
                  </w:tcBorders>
                  <w:shd w:val="clear" w:color="auto" w:fill="auto"/>
                  <w:noWrap/>
                  <w:vAlign w:val="bottom"/>
                  <w:hideMark/>
                </w:tcPr>
                <w:p w14:paraId="35472779" w14:textId="77777777" w:rsidR="00C4124D" w:rsidRDefault="00C4124D" w:rsidP="00C4124D">
                  <w:pPr>
                    <w:rPr>
                      <w:rFonts w:ascii="Calibri" w:hAnsi="Calibri"/>
                      <w:color w:val="000000"/>
                      <w:sz w:val="22"/>
                      <w:szCs w:val="22"/>
                    </w:rPr>
                  </w:pPr>
                  <w:r>
                    <w:rPr>
                      <w:rFonts w:ascii="Calibri" w:hAnsi="Calibri"/>
                      <w:color w:val="000000"/>
                      <w:sz w:val="22"/>
                      <w:szCs w:val="22"/>
                    </w:rPr>
                    <w:t>7.1.2</w:t>
                  </w:r>
                </w:p>
              </w:tc>
              <w:tc>
                <w:tcPr>
                  <w:tcW w:w="3631" w:type="dxa"/>
                  <w:tcBorders>
                    <w:top w:val="nil"/>
                    <w:left w:val="nil"/>
                    <w:bottom w:val="nil"/>
                    <w:right w:val="nil"/>
                  </w:tcBorders>
                  <w:shd w:val="clear" w:color="auto" w:fill="auto"/>
                  <w:noWrap/>
                  <w:vAlign w:val="center"/>
                  <w:hideMark/>
                </w:tcPr>
                <w:p w14:paraId="05C224DA" w14:textId="77777777" w:rsidR="00C4124D" w:rsidRDefault="00C4124D" w:rsidP="00C4124D">
                  <w:pPr>
                    <w:rPr>
                      <w:rFonts w:ascii="Arial" w:hAnsi="Arial" w:cs="Arial"/>
                      <w:color w:val="000080"/>
                      <w:sz w:val="20"/>
                      <w:szCs w:val="20"/>
                    </w:rPr>
                  </w:pPr>
                  <w:r>
                    <w:rPr>
                      <w:rFonts w:ascii="Arial" w:hAnsi="Arial" w:cs="Arial"/>
                      <w:noProof/>
                      <w:color w:val="000080"/>
                      <w:sz w:val="20"/>
                      <w:szCs w:val="20"/>
                    </w:rPr>
                    <w:t>Рынок инъекционной косметологии</w:t>
                  </w:r>
                </w:p>
              </w:tc>
              <w:tc>
                <w:tcPr>
                  <w:tcW w:w="960" w:type="dxa"/>
                  <w:tcBorders>
                    <w:top w:val="nil"/>
                    <w:left w:val="nil"/>
                    <w:bottom w:val="nil"/>
                    <w:right w:val="nil"/>
                  </w:tcBorders>
                  <w:shd w:val="clear" w:color="auto" w:fill="auto"/>
                  <w:noWrap/>
                  <w:vAlign w:val="center"/>
                  <w:hideMark/>
                </w:tcPr>
                <w:p w14:paraId="040C7526" w14:textId="77777777" w:rsidR="00C4124D" w:rsidRDefault="00C4124D" w:rsidP="00C4124D">
                  <w:pPr>
                    <w:rPr>
                      <w:rFonts w:ascii="Arial" w:hAnsi="Arial" w:cs="Arial"/>
                      <w:color w:val="000080"/>
                      <w:sz w:val="20"/>
                      <w:szCs w:val="20"/>
                    </w:rPr>
                  </w:pPr>
                  <w:r>
                    <w:rPr>
                      <w:rFonts w:ascii="Arial" w:hAnsi="Arial" w:cs="Arial"/>
                      <w:noProof/>
                      <w:color w:val="000080"/>
                      <w:sz w:val="20"/>
                      <w:szCs w:val="20"/>
                    </w:rPr>
                    <w:t>34</w:t>
                  </w:r>
                </w:p>
              </w:tc>
            </w:tr>
            <w:tr w:rsidR="00C4124D" w14:paraId="35D7608C" w14:textId="77777777" w:rsidTr="002F10D1">
              <w:trPr>
                <w:trHeight w:val="300"/>
              </w:trPr>
              <w:tc>
                <w:tcPr>
                  <w:tcW w:w="547" w:type="dxa"/>
                  <w:tcBorders>
                    <w:top w:val="nil"/>
                    <w:left w:val="nil"/>
                    <w:bottom w:val="nil"/>
                    <w:right w:val="nil"/>
                  </w:tcBorders>
                  <w:shd w:val="clear" w:color="auto" w:fill="auto"/>
                  <w:noWrap/>
                  <w:vAlign w:val="bottom"/>
                  <w:hideMark/>
                </w:tcPr>
                <w:p w14:paraId="55AB3850" w14:textId="77777777" w:rsidR="00C4124D" w:rsidRDefault="00C4124D" w:rsidP="00C4124D">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49C2FCD" w14:textId="77777777" w:rsidR="00C4124D" w:rsidRDefault="00C4124D" w:rsidP="00C4124D">
                  <w:pPr>
                    <w:rPr>
                      <w:rFonts w:ascii="Calibri" w:hAnsi="Calibri"/>
                      <w:color w:val="000000"/>
                      <w:sz w:val="22"/>
                      <w:szCs w:val="22"/>
                    </w:rPr>
                  </w:pPr>
                  <w:r>
                    <w:rPr>
                      <w:rFonts w:ascii="Calibri" w:hAnsi="Calibri"/>
                      <w:color w:val="000000"/>
                      <w:sz w:val="22"/>
                      <w:szCs w:val="22"/>
                    </w:rPr>
                    <w:t>7.2</w:t>
                  </w:r>
                </w:p>
              </w:tc>
              <w:tc>
                <w:tcPr>
                  <w:tcW w:w="4482" w:type="dxa"/>
                  <w:gridSpan w:val="2"/>
                  <w:tcBorders>
                    <w:top w:val="nil"/>
                    <w:left w:val="nil"/>
                    <w:bottom w:val="nil"/>
                    <w:right w:val="nil"/>
                  </w:tcBorders>
                  <w:shd w:val="clear" w:color="auto" w:fill="auto"/>
                  <w:noWrap/>
                  <w:vAlign w:val="center"/>
                  <w:hideMark/>
                </w:tcPr>
                <w:p w14:paraId="16E2A40A"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Влияние сезонности</w:t>
                  </w:r>
                </w:p>
              </w:tc>
              <w:tc>
                <w:tcPr>
                  <w:tcW w:w="960" w:type="dxa"/>
                  <w:tcBorders>
                    <w:top w:val="nil"/>
                    <w:left w:val="nil"/>
                    <w:bottom w:val="nil"/>
                    <w:right w:val="nil"/>
                  </w:tcBorders>
                  <w:shd w:val="clear" w:color="auto" w:fill="auto"/>
                  <w:noWrap/>
                  <w:vAlign w:val="center"/>
                  <w:hideMark/>
                </w:tcPr>
                <w:p w14:paraId="0FBBE1F0"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38</w:t>
                  </w:r>
                </w:p>
              </w:tc>
            </w:tr>
            <w:tr w:rsidR="00C4124D" w14:paraId="2780F147" w14:textId="77777777" w:rsidTr="002F10D1">
              <w:trPr>
                <w:trHeight w:val="300"/>
              </w:trPr>
              <w:tc>
                <w:tcPr>
                  <w:tcW w:w="547" w:type="dxa"/>
                  <w:tcBorders>
                    <w:top w:val="nil"/>
                    <w:left w:val="nil"/>
                    <w:bottom w:val="nil"/>
                    <w:right w:val="nil"/>
                  </w:tcBorders>
                  <w:shd w:val="clear" w:color="auto" w:fill="auto"/>
                  <w:noWrap/>
                  <w:vAlign w:val="bottom"/>
                  <w:hideMark/>
                </w:tcPr>
                <w:p w14:paraId="229FA2B8"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13227BC" w14:textId="77777777" w:rsidR="00C4124D" w:rsidRDefault="00C4124D" w:rsidP="00C4124D">
                  <w:pPr>
                    <w:rPr>
                      <w:rFonts w:ascii="Calibri" w:hAnsi="Calibri"/>
                      <w:color w:val="000000"/>
                      <w:sz w:val="22"/>
                      <w:szCs w:val="22"/>
                    </w:rPr>
                  </w:pPr>
                  <w:r>
                    <w:rPr>
                      <w:rFonts w:ascii="Calibri" w:hAnsi="Calibri"/>
                      <w:color w:val="000000"/>
                      <w:sz w:val="22"/>
                      <w:szCs w:val="22"/>
                    </w:rPr>
                    <w:t>7.3</w:t>
                  </w:r>
                </w:p>
              </w:tc>
              <w:tc>
                <w:tcPr>
                  <w:tcW w:w="4482" w:type="dxa"/>
                  <w:gridSpan w:val="2"/>
                  <w:tcBorders>
                    <w:top w:val="nil"/>
                    <w:left w:val="nil"/>
                    <w:bottom w:val="nil"/>
                    <w:right w:val="nil"/>
                  </w:tcBorders>
                  <w:shd w:val="clear" w:color="auto" w:fill="auto"/>
                  <w:noWrap/>
                  <w:vAlign w:val="center"/>
                  <w:hideMark/>
                </w:tcPr>
                <w:p w14:paraId="5C2B4EA8"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Государственное регулирование</w:t>
                  </w:r>
                </w:p>
              </w:tc>
              <w:tc>
                <w:tcPr>
                  <w:tcW w:w="960" w:type="dxa"/>
                  <w:tcBorders>
                    <w:top w:val="nil"/>
                    <w:left w:val="nil"/>
                    <w:bottom w:val="nil"/>
                    <w:right w:val="nil"/>
                  </w:tcBorders>
                  <w:shd w:val="clear" w:color="auto" w:fill="auto"/>
                  <w:noWrap/>
                  <w:vAlign w:val="center"/>
                  <w:hideMark/>
                </w:tcPr>
                <w:p w14:paraId="04756A70"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38</w:t>
                  </w:r>
                </w:p>
              </w:tc>
            </w:tr>
            <w:tr w:rsidR="00C4124D" w14:paraId="704525FA" w14:textId="77777777" w:rsidTr="002F10D1">
              <w:trPr>
                <w:trHeight w:val="300"/>
              </w:trPr>
              <w:tc>
                <w:tcPr>
                  <w:tcW w:w="547" w:type="dxa"/>
                  <w:tcBorders>
                    <w:top w:val="nil"/>
                    <w:left w:val="nil"/>
                    <w:bottom w:val="nil"/>
                    <w:right w:val="nil"/>
                  </w:tcBorders>
                  <w:shd w:val="clear" w:color="auto" w:fill="auto"/>
                  <w:noWrap/>
                  <w:vAlign w:val="bottom"/>
                  <w:hideMark/>
                </w:tcPr>
                <w:p w14:paraId="18B4F92D"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1C7F8A7" w14:textId="77777777" w:rsidR="00C4124D" w:rsidRDefault="00C4124D" w:rsidP="00C4124D">
                  <w:pPr>
                    <w:rPr>
                      <w:rFonts w:ascii="Calibri" w:hAnsi="Calibri"/>
                      <w:color w:val="000000"/>
                      <w:sz w:val="22"/>
                      <w:szCs w:val="22"/>
                    </w:rPr>
                  </w:pPr>
                  <w:r>
                    <w:rPr>
                      <w:rFonts w:ascii="Calibri" w:hAnsi="Calibri"/>
                      <w:color w:val="000000"/>
                      <w:sz w:val="22"/>
                      <w:szCs w:val="22"/>
                    </w:rPr>
                    <w:t>7.4</w:t>
                  </w:r>
                </w:p>
              </w:tc>
              <w:tc>
                <w:tcPr>
                  <w:tcW w:w="4482" w:type="dxa"/>
                  <w:gridSpan w:val="2"/>
                  <w:tcBorders>
                    <w:top w:val="nil"/>
                    <w:left w:val="nil"/>
                    <w:bottom w:val="nil"/>
                    <w:right w:val="nil"/>
                  </w:tcBorders>
                  <w:shd w:val="clear" w:color="auto" w:fill="auto"/>
                  <w:noWrap/>
                  <w:vAlign w:val="center"/>
                  <w:hideMark/>
                </w:tcPr>
                <w:p w14:paraId="1F9B1F8C"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Тенденции рынка</w:t>
                  </w:r>
                </w:p>
              </w:tc>
              <w:tc>
                <w:tcPr>
                  <w:tcW w:w="960" w:type="dxa"/>
                  <w:tcBorders>
                    <w:top w:val="nil"/>
                    <w:left w:val="nil"/>
                    <w:bottom w:val="nil"/>
                    <w:right w:val="nil"/>
                  </w:tcBorders>
                  <w:shd w:val="clear" w:color="auto" w:fill="auto"/>
                  <w:noWrap/>
                  <w:vAlign w:val="center"/>
                  <w:hideMark/>
                </w:tcPr>
                <w:p w14:paraId="1D160186"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39</w:t>
                  </w:r>
                </w:p>
              </w:tc>
            </w:tr>
            <w:tr w:rsidR="00C4124D" w14:paraId="4AEA674E" w14:textId="77777777" w:rsidTr="002F10D1">
              <w:trPr>
                <w:trHeight w:val="300"/>
              </w:trPr>
              <w:tc>
                <w:tcPr>
                  <w:tcW w:w="547" w:type="dxa"/>
                  <w:tcBorders>
                    <w:top w:val="nil"/>
                    <w:left w:val="nil"/>
                    <w:bottom w:val="nil"/>
                    <w:right w:val="nil"/>
                  </w:tcBorders>
                  <w:shd w:val="clear" w:color="auto" w:fill="auto"/>
                  <w:noWrap/>
                  <w:vAlign w:val="bottom"/>
                  <w:hideMark/>
                </w:tcPr>
                <w:p w14:paraId="27CEDFC8" w14:textId="77777777" w:rsidR="00C4124D" w:rsidRDefault="00C4124D" w:rsidP="00C4124D">
                  <w:pPr>
                    <w:rPr>
                      <w:rFonts w:ascii="Calibri" w:hAnsi="Calibri"/>
                      <w:color w:val="000000"/>
                      <w:sz w:val="22"/>
                      <w:szCs w:val="22"/>
                    </w:rPr>
                  </w:pPr>
                  <w:r>
                    <w:rPr>
                      <w:rFonts w:ascii="Calibri" w:hAnsi="Calibri"/>
                      <w:color w:val="000000"/>
                      <w:sz w:val="22"/>
                      <w:szCs w:val="22"/>
                    </w:rPr>
                    <w:t>8</w:t>
                  </w:r>
                </w:p>
              </w:tc>
              <w:tc>
                <w:tcPr>
                  <w:tcW w:w="5190" w:type="dxa"/>
                  <w:gridSpan w:val="3"/>
                  <w:tcBorders>
                    <w:top w:val="nil"/>
                    <w:left w:val="nil"/>
                    <w:bottom w:val="nil"/>
                    <w:right w:val="nil"/>
                  </w:tcBorders>
                  <w:shd w:val="clear" w:color="auto" w:fill="auto"/>
                  <w:noWrap/>
                  <w:vAlign w:val="center"/>
                  <w:hideMark/>
                </w:tcPr>
                <w:p w14:paraId="466BCE27"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30D0877C"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41</w:t>
                  </w:r>
                </w:p>
              </w:tc>
            </w:tr>
            <w:tr w:rsidR="00C4124D" w14:paraId="7A96391B" w14:textId="77777777" w:rsidTr="002F10D1">
              <w:trPr>
                <w:trHeight w:val="300"/>
              </w:trPr>
              <w:tc>
                <w:tcPr>
                  <w:tcW w:w="547" w:type="dxa"/>
                  <w:tcBorders>
                    <w:top w:val="nil"/>
                    <w:left w:val="nil"/>
                    <w:bottom w:val="nil"/>
                    <w:right w:val="nil"/>
                  </w:tcBorders>
                  <w:shd w:val="clear" w:color="auto" w:fill="auto"/>
                  <w:noWrap/>
                  <w:vAlign w:val="bottom"/>
                  <w:hideMark/>
                </w:tcPr>
                <w:p w14:paraId="1D89EB36" w14:textId="77777777" w:rsidR="00C4124D" w:rsidRDefault="00C4124D" w:rsidP="00C4124D">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F114238" w14:textId="77777777" w:rsidR="00C4124D" w:rsidRDefault="00C4124D" w:rsidP="00C4124D">
                  <w:pPr>
                    <w:rPr>
                      <w:sz w:val="20"/>
                      <w:szCs w:val="20"/>
                    </w:rPr>
                  </w:pPr>
                </w:p>
              </w:tc>
              <w:tc>
                <w:tcPr>
                  <w:tcW w:w="851" w:type="dxa"/>
                  <w:tcBorders>
                    <w:top w:val="nil"/>
                    <w:left w:val="nil"/>
                    <w:bottom w:val="nil"/>
                    <w:right w:val="nil"/>
                  </w:tcBorders>
                  <w:shd w:val="clear" w:color="auto" w:fill="auto"/>
                  <w:noWrap/>
                  <w:vAlign w:val="bottom"/>
                  <w:hideMark/>
                </w:tcPr>
                <w:p w14:paraId="642642BF" w14:textId="77777777" w:rsidR="00C4124D" w:rsidRDefault="00C4124D" w:rsidP="00C4124D">
                  <w:pPr>
                    <w:rPr>
                      <w:rFonts w:ascii="Calibri" w:hAnsi="Calibri"/>
                      <w:color w:val="000000"/>
                      <w:sz w:val="22"/>
                      <w:szCs w:val="22"/>
                    </w:rPr>
                  </w:pPr>
                  <w:r>
                    <w:rPr>
                      <w:rFonts w:ascii="Calibri" w:hAnsi="Calibri"/>
                      <w:color w:val="000000"/>
                      <w:sz w:val="22"/>
                      <w:szCs w:val="22"/>
                    </w:rPr>
                    <w:t>8.1.1</w:t>
                  </w:r>
                </w:p>
              </w:tc>
              <w:tc>
                <w:tcPr>
                  <w:tcW w:w="3631" w:type="dxa"/>
                  <w:tcBorders>
                    <w:top w:val="nil"/>
                    <w:left w:val="nil"/>
                    <w:bottom w:val="nil"/>
                    <w:right w:val="nil"/>
                  </w:tcBorders>
                  <w:shd w:val="clear" w:color="auto" w:fill="auto"/>
                  <w:noWrap/>
                  <w:vAlign w:val="center"/>
                  <w:hideMark/>
                </w:tcPr>
                <w:p w14:paraId="2ADB8283" w14:textId="77777777" w:rsidR="00C4124D" w:rsidRDefault="00C4124D" w:rsidP="00C4124D">
                  <w:pPr>
                    <w:rPr>
                      <w:rFonts w:ascii="Arial" w:hAnsi="Arial" w:cs="Arial"/>
                      <w:color w:val="000080"/>
                      <w:sz w:val="20"/>
                      <w:szCs w:val="20"/>
                    </w:rPr>
                  </w:pPr>
                  <w:r>
                    <w:rPr>
                      <w:rFonts w:ascii="Arial" w:hAnsi="Arial" w:cs="Arial"/>
                      <w:noProof/>
                      <w:color w:val="000080"/>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422AAF5C" w14:textId="77777777" w:rsidR="00C4124D" w:rsidRDefault="00C4124D" w:rsidP="00C4124D">
                  <w:pPr>
                    <w:rPr>
                      <w:rFonts w:ascii="Arial" w:hAnsi="Arial" w:cs="Arial"/>
                      <w:color w:val="000080"/>
                      <w:sz w:val="20"/>
                      <w:szCs w:val="20"/>
                    </w:rPr>
                  </w:pPr>
                  <w:r>
                    <w:rPr>
                      <w:rFonts w:ascii="Arial" w:hAnsi="Arial" w:cs="Arial"/>
                      <w:noProof/>
                      <w:color w:val="000080"/>
                      <w:sz w:val="20"/>
                      <w:szCs w:val="20"/>
                    </w:rPr>
                    <w:t>42</w:t>
                  </w:r>
                </w:p>
              </w:tc>
            </w:tr>
            <w:tr w:rsidR="00C4124D" w14:paraId="0DCA5A9B" w14:textId="77777777" w:rsidTr="002F10D1">
              <w:trPr>
                <w:trHeight w:val="300"/>
              </w:trPr>
              <w:tc>
                <w:tcPr>
                  <w:tcW w:w="547" w:type="dxa"/>
                  <w:tcBorders>
                    <w:top w:val="nil"/>
                    <w:left w:val="nil"/>
                    <w:bottom w:val="nil"/>
                    <w:right w:val="nil"/>
                  </w:tcBorders>
                  <w:shd w:val="clear" w:color="auto" w:fill="auto"/>
                  <w:noWrap/>
                  <w:vAlign w:val="bottom"/>
                  <w:hideMark/>
                </w:tcPr>
                <w:p w14:paraId="7019B518" w14:textId="77777777" w:rsidR="00C4124D" w:rsidRDefault="00C4124D" w:rsidP="00C4124D">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5455654" w14:textId="77777777" w:rsidR="00C4124D" w:rsidRDefault="00C4124D" w:rsidP="00C4124D">
                  <w:pPr>
                    <w:rPr>
                      <w:sz w:val="20"/>
                      <w:szCs w:val="20"/>
                    </w:rPr>
                  </w:pPr>
                </w:p>
              </w:tc>
              <w:tc>
                <w:tcPr>
                  <w:tcW w:w="851" w:type="dxa"/>
                  <w:tcBorders>
                    <w:top w:val="nil"/>
                    <w:left w:val="nil"/>
                    <w:bottom w:val="nil"/>
                    <w:right w:val="nil"/>
                  </w:tcBorders>
                  <w:shd w:val="clear" w:color="auto" w:fill="auto"/>
                  <w:noWrap/>
                  <w:vAlign w:val="bottom"/>
                  <w:hideMark/>
                </w:tcPr>
                <w:p w14:paraId="700D8AB0" w14:textId="77777777" w:rsidR="00C4124D" w:rsidRDefault="00C4124D" w:rsidP="00C4124D">
                  <w:pPr>
                    <w:rPr>
                      <w:rFonts w:ascii="Calibri" w:hAnsi="Calibri"/>
                      <w:color w:val="000000"/>
                      <w:sz w:val="22"/>
                      <w:szCs w:val="22"/>
                    </w:rPr>
                  </w:pPr>
                  <w:r>
                    <w:rPr>
                      <w:rFonts w:ascii="Calibri" w:hAnsi="Calibri"/>
                      <w:color w:val="000000"/>
                      <w:sz w:val="22"/>
                      <w:szCs w:val="22"/>
                    </w:rPr>
                    <w:t>8.1.2</w:t>
                  </w:r>
                </w:p>
              </w:tc>
              <w:tc>
                <w:tcPr>
                  <w:tcW w:w="3631" w:type="dxa"/>
                  <w:tcBorders>
                    <w:top w:val="nil"/>
                    <w:left w:val="nil"/>
                    <w:bottom w:val="nil"/>
                    <w:right w:val="nil"/>
                  </w:tcBorders>
                  <w:shd w:val="clear" w:color="auto" w:fill="auto"/>
                  <w:noWrap/>
                  <w:vAlign w:val="center"/>
                  <w:hideMark/>
                </w:tcPr>
                <w:p w14:paraId="528E684A" w14:textId="77777777" w:rsidR="00C4124D" w:rsidRDefault="00C4124D" w:rsidP="00C4124D">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игроков рынка</w:t>
                  </w:r>
                </w:p>
              </w:tc>
              <w:tc>
                <w:tcPr>
                  <w:tcW w:w="960" w:type="dxa"/>
                  <w:tcBorders>
                    <w:top w:val="nil"/>
                    <w:left w:val="nil"/>
                    <w:bottom w:val="nil"/>
                    <w:right w:val="nil"/>
                  </w:tcBorders>
                  <w:shd w:val="clear" w:color="auto" w:fill="auto"/>
                  <w:noWrap/>
                  <w:vAlign w:val="center"/>
                  <w:hideMark/>
                </w:tcPr>
                <w:p w14:paraId="3C43BD85" w14:textId="77777777" w:rsidR="00C4124D" w:rsidRDefault="00C4124D" w:rsidP="00C4124D">
                  <w:pPr>
                    <w:rPr>
                      <w:rFonts w:ascii="Arial" w:hAnsi="Arial" w:cs="Arial"/>
                      <w:color w:val="000080"/>
                      <w:sz w:val="20"/>
                      <w:szCs w:val="20"/>
                    </w:rPr>
                  </w:pPr>
                  <w:r>
                    <w:rPr>
                      <w:rFonts w:ascii="Arial" w:hAnsi="Arial" w:cs="Arial"/>
                      <w:noProof/>
                      <w:color w:val="000080"/>
                      <w:sz w:val="20"/>
                      <w:szCs w:val="20"/>
                    </w:rPr>
                    <w:t>61</w:t>
                  </w:r>
                </w:p>
              </w:tc>
            </w:tr>
            <w:tr w:rsidR="00C4124D" w14:paraId="72EAA6A8" w14:textId="77777777" w:rsidTr="002F10D1">
              <w:trPr>
                <w:trHeight w:val="300"/>
              </w:trPr>
              <w:tc>
                <w:tcPr>
                  <w:tcW w:w="547" w:type="dxa"/>
                  <w:tcBorders>
                    <w:top w:val="nil"/>
                    <w:left w:val="nil"/>
                    <w:bottom w:val="nil"/>
                    <w:right w:val="nil"/>
                  </w:tcBorders>
                  <w:shd w:val="clear" w:color="auto" w:fill="auto"/>
                  <w:noWrap/>
                  <w:vAlign w:val="bottom"/>
                  <w:hideMark/>
                </w:tcPr>
                <w:p w14:paraId="2702A422" w14:textId="77777777" w:rsidR="00C4124D" w:rsidRDefault="00C4124D" w:rsidP="00C4124D">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B5F6C31" w14:textId="77777777" w:rsidR="00C4124D" w:rsidRDefault="00C4124D" w:rsidP="00C4124D">
                  <w:pPr>
                    <w:rPr>
                      <w:sz w:val="20"/>
                      <w:szCs w:val="20"/>
                    </w:rPr>
                  </w:pPr>
                </w:p>
              </w:tc>
              <w:tc>
                <w:tcPr>
                  <w:tcW w:w="851" w:type="dxa"/>
                  <w:tcBorders>
                    <w:top w:val="nil"/>
                    <w:left w:val="nil"/>
                    <w:bottom w:val="nil"/>
                    <w:right w:val="nil"/>
                  </w:tcBorders>
                  <w:shd w:val="clear" w:color="auto" w:fill="auto"/>
                  <w:noWrap/>
                  <w:vAlign w:val="bottom"/>
                  <w:hideMark/>
                </w:tcPr>
                <w:p w14:paraId="06C6645A" w14:textId="77777777" w:rsidR="00C4124D" w:rsidRDefault="00C4124D" w:rsidP="00C4124D">
                  <w:pPr>
                    <w:rPr>
                      <w:rFonts w:ascii="Calibri" w:hAnsi="Calibri"/>
                      <w:color w:val="000000"/>
                      <w:sz w:val="22"/>
                      <w:szCs w:val="22"/>
                    </w:rPr>
                  </w:pPr>
                  <w:r>
                    <w:rPr>
                      <w:rFonts w:ascii="Calibri" w:hAnsi="Calibri"/>
                      <w:color w:val="000000"/>
                      <w:sz w:val="22"/>
                      <w:szCs w:val="22"/>
                    </w:rPr>
                    <w:t>8.1.3</w:t>
                  </w:r>
                </w:p>
              </w:tc>
              <w:tc>
                <w:tcPr>
                  <w:tcW w:w="3631" w:type="dxa"/>
                  <w:tcBorders>
                    <w:top w:val="nil"/>
                    <w:left w:val="nil"/>
                    <w:bottom w:val="nil"/>
                    <w:right w:val="nil"/>
                  </w:tcBorders>
                  <w:shd w:val="clear" w:color="auto" w:fill="auto"/>
                  <w:noWrap/>
                  <w:vAlign w:val="center"/>
                  <w:hideMark/>
                </w:tcPr>
                <w:p w14:paraId="04048E4A" w14:textId="77777777" w:rsidR="00C4124D" w:rsidRDefault="00C4124D" w:rsidP="00C4124D">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игроками рынка</w:t>
                  </w:r>
                </w:p>
              </w:tc>
              <w:tc>
                <w:tcPr>
                  <w:tcW w:w="960" w:type="dxa"/>
                  <w:tcBorders>
                    <w:top w:val="nil"/>
                    <w:left w:val="nil"/>
                    <w:bottom w:val="nil"/>
                    <w:right w:val="nil"/>
                  </w:tcBorders>
                  <w:shd w:val="clear" w:color="auto" w:fill="auto"/>
                  <w:noWrap/>
                  <w:vAlign w:val="center"/>
                  <w:hideMark/>
                </w:tcPr>
                <w:p w14:paraId="3DD36C33" w14:textId="77777777" w:rsidR="00C4124D" w:rsidRDefault="00C4124D" w:rsidP="00C4124D">
                  <w:pPr>
                    <w:rPr>
                      <w:rFonts w:ascii="Arial" w:hAnsi="Arial" w:cs="Arial"/>
                      <w:color w:val="000080"/>
                      <w:sz w:val="20"/>
                      <w:szCs w:val="20"/>
                    </w:rPr>
                  </w:pPr>
                  <w:r>
                    <w:rPr>
                      <w:rFonts w:ascii="Arial" w:hAnsi="Arial" w:cs="Arial"/>
                      <w:noProof/>
                      <w:color w:val="000080"/>
                      <w:sz w:val="20"/>
                      <w:szCs w:val="20"/>
                    </w:rPr>
                    <w:t>65</w:t>
                  </w:r>
                </w:p>
              </w:tc>
            </w:tr>
            <w:tr w:rsidR="00C4124D" w14:paraId="4CBB6F6F" w14:textId="77777777" w:rsidTr="002F10D1">
              <w:trPr>
                <w:trHeight w:val="300"/>
              </w:trPr>
              <w:tc>
                <w:tcPr>
                  <w:tcW w:w="547" w:type="dxa"/>
                  <w:tcBorders>
                    <w:top w:val="nil"/>
                    <w:left w:val="nil"/>
                    <w:bottom w:val="nil"/>
                    <w:right w:val="nil"/>
                  </w:tcBorders>
                  <w:shd w:val="clear" w:color="auto" w:fill="auto"/>
                  <w:noWrap/>
                  <w:vAlign w:val="bottom"/>
                  <w:hideMark/>
                </w:tcPr>
                <w:p w14:paraId="2F087BD6" w14:textId="77777777" w:rsidR="00C4124D" w:rsidRDefault="00C4124D" w:rsidP="00C4124D">
                  <w:pPr>
                    <w:rPr>
                      <w:rFonts w:ascii="Calibri" w:hAnsi="Calibri"/>
                      <w:color w:val="000000"/>
                      <w:sz w:val="22"/>
                      <w:szCs w:val="22"/>
                    </w:rPr>
                  </w:pPr>
                  <w:r>
                    <w:rPr>
                      <w:rFonts w:ascii="Calibri" w:hAnsi="Calibri"/>
                      <w:color w:val="000000"/>
                      <w:sz w:val="22"/>
                      <w:szCs w:val="22"/>
                    </w:rPr>
                    <w:t>9</w:t>
                  </w:r>
                </w:p>
              </w:tc>
              <w:tc>
                <w:tcPr>
                  <w:tcW w:w="5190" w:type="dxa"/>
                  <w:gridSpan w:val="3"/>
                  <w:tcBorders>
                    <w:top w:val="nil"/>
                    <w:left w:val="nil"/>
                    <w:bottom w:val="nil"/>
                    <w:right w:val="nil"/>
                  </w:tcBorders>
                  <w:shd w:val="clear" w:color="auto" w:fill="auto"/>
                  <w:noWrap/>
                  <w:vAlign w:val="center"/>
                  <w:hideMark/>
                </w:tcPr>
                <w:p w14:paraId="73837D82"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1672C9FB"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66</w:t>
                  </w:r>
                </w:p>
              </w:tc>
            </w:tr>
            <w:tr w:rsidR="00C4124D" w14:paraId="64FA4646" w14:textId="77777777" w:rsidTr="002F10D1">
              <w:trPr>
                <w:trHeight w:val="300"/>
              </w:trPr>
              <w:tc>
                <w:tcPr>
                  <w:tcW w:w="547" w:type="dxa"/>
                  <w:tcBorders>
                    <w:top w:val="nil"/>
                    <w:left w:val="nil"/>
                    <w:bottom w:val="nil"/>
                    <w:right w:val="nil"/>
                  </w:tcBorders>
                  <w:shd w:val="clear" w:color="auto" w:fill="auto"/>
                  <w:noWrap/>
                  <w:vAlign w:val="bottom"/>
                  <w:hideMark/>
                </w:tcPr>
                <w:p w14:paraId="4DAED994" w14:textId="77777777" w:rsidR="00C4124D" w:rsidRDefault="00C4124D" w:rsidP="00C4124D">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7DDDDF4" w14:textId="77777777" w:rsidR="00C4124D" w:rsidRDefault="00C4124D" w:rsidP="00C4124D">
                  <w:pPr>
                    <w:rPr>
                      <w:rFonts w:ascii="Calibri" w:hAnsi="Calibri"/>
                      <w:color w:val="000000"/>
                      <w:sz w:val="22"/>
                      <w:szCs w:val="22"/>
                    </w:rPr>
                  </w:pPr>
                  <w:r>
                    <w:rPr>
                      <w:rFonts w:ascii="Calibri" w:hAnsi="Calibri"/>
                      <w:color w:val="000000"/>
                      <w:sz w:val="22"/>
                      <w:szCs w:val="22"/>
                    </w:rPr>
                    <w:t>9.1</w:t>
                  </w:r>
                </w:p>
              </w:tc>
              <w:tc>
                <w:tcPr>
                  <w:tcW w:w="4482" w:type="dxa"/>
                  <w:gridSpan w:val="2"/>
                  <w:tcBorders>
                    <w:top w:val="nil"/>
                    <w:left w:val="nil"/>
                    <w:bottom w:val="nil"/>
                    <w:right w:val="nil"/>
                  </w:tcBorders>
                  <w:shd w:val="clear" w:color="auto" w:fill="auto"/>
                  <w:noWrap/>
                  <w:vAlign w:val="center"/>
                  <w:hideMark/>
                </w:tcPr>
                <w:p w14:paraId="2598B5A8" w14:textId="77777777" w:rsidR="00C4124D" w:rsidRDefault="00C4124D" w:rsidP="00C4124D">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6E7DA39A"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66</w:t>
                  </w:r>
                </w:p>
              </w:tc>
            </w:tr>
            <w:tr w:rsidR="00C4124D" w14:paraId="69EEF4C8" w14:textId="77777777" w:rsidTr="002F10D1">
              <w:trPr>
                <w:trHeight w:val="300"/>
              </w:trPr>
              <w:tc>
                <w:tcPr>
                  <w:tcW w:w="547" w:type="dxa"/>
                  <w:tcBorders>
                    <w:top w:val="nil"/>
                    <w:left w:val="nil"/>
                    <w:bottom w:val="nil"/>
                    <w:right w:val="nil"/>
                  </w:tcBorders>
                  <w:shd w:val="clear" w:color="auto" w:fill="auto"/>
                  <w:noWrap/>
                  <w:vAlign w:val="bottom"/>
                  <w:hideMark/>
                </w:tcPr>
                <w:p w14:paraId="7066EB08"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753788F" w14:textId="77777777" w:rsidR="00C4124D" w:rsidRDefault="00C4124D" w:rsidP="00C4124D">
                  <w:pPr>
                    <w:rPr>
                      <w:rFonts w:ascii="Calibri" w:hAnsi="Calibri"/>
                      <w:color w:val="000000"/>
                      <w:sz w:val="22"/>
                      <w:szCs w:val="22"/>
                    </w:rPr>
                  </w:pPr>
                  <w:r>
                    <w:rPr>
                      <w:rFonts w:ascii="Calibri" w:hAnsi="Calibri"/>
                      <w:color w:val="000000"/>
                      <w:sz w:val="22"/>
                      <w:szCs w:val="22"/>
                    </w:rPr>
                    <w:t>9.2</w:t>
                  </w:r>
                </w:p>
              </w:tc>
              <w:tc>
                <w:tcPr>
                  <w:tcW w:w="4482" w:type="dxa"/>
                  <w:gridSpan w:val="2"/>
                  <w:tcBorders>
                    <w:top w:val="nil"/>
                    <w:left w:val="nil"/>
                    <w:bottom w:val="nil"/>
                    <w:right w:val="nil"/>
                  </w:tcBorders>
                  <w:shd w:val="clear" w:color="auto" w:fill="auto"/>
                  <w:noWrap/>
                  <w:vAlign w:val="center"/>
                  <w:hideMark/>
                </w:tcPr>
                <w:p w14:paraId="1844DA19" w14:textId="77777777" w:rsidR="00C4124D" w:rsidRDefault="00C4124D" w:rsidP="00C4124D">
                  <w:pPr>
                    <w:rPr>
                      <w:rFonts w:ascii="Arial" w:hAnsi="Arial" w:cs="Arial"/>
                      <w:i/>
                      <w:iCs/>
                      <w:color w:val="333399"/>
                      <w:sz w:val="20"/>
                      <w:szCs w:val="20"/>
                    </w:rPr>
                  </w:pPr>
                  <w:r>
                    <w:rPr>
                      <w:rFonts w:ascii="Arial" w:hAnsi="Arial" w:cs="Arial"/>
                      <w:i/>
                      <w:iCs/>
                      <w:noProof/>
                      <w:color w:val="333399"/>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246FA3E3"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67</w:t>
                  </w:r>
                </w:p>
              </w:tc>
            </w:tr>
            <w:tr w:rsidR="00C4124D" w14:paraId="0F044891" w14:textId="77777777" w:rsidTr="002F10D1">
              <w:trPr>
                <w:trHeight w:val="300"/>
              </w:trPr>
              <w:tc>
                <w:tcPr>
                  <w:tcW w:w="547" w:type="dxa"/>
                  <w:tcBorders>
                    <w:top w:val="nil"/>
                    <w:left w:val="nil"/>
                    <w:bottom w:val="nil"/>
                    <w:right w:val="nil"/>
                  </w:tcBorders>
                  <w:shd w:val="clear" w:color="auto" w:fill="auto"/>
                  <w:noWrap/>
                  <w:vAlign w:val="bottom"/>
                  <w:hideMark/>
                </w:tcPr>
                <w:p w14:paraId="0F319B23"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D195891" w14:textId="77777777" w:rsidR="00C4124D" w:rsidRDefault="00C4124D" w:rsidP="00C4124D">
                  <w:pPr>
                    <w:rPr>
                      <w:rFonts w:ascii="Calibri" w:hAnsi="Calibri"/>
                      <w:color w:val="000000"/>
                      <w:sz w:val="22"/>
                      <w:szCs w:val="22"/>
                    </w:rPr>
                  </w:pPr>
                  <w:r>
                    <w:rPr>
                      <w:rFonts w:ascii="Calibri" w:hAnsi="Calibri"/>
                      <w:color w:val="000000"/>
                      <w:sz w:val="22"/>
                      <w:szCs w:val="22"/>
                    </w:rPr>
                    <w:t>9.3</w:t>
                  </w:r>
                </w:p>
              </w:tc>
              <w:tc>
                <w:tcPr>
                  <w:tcW w:w="4482" w:type="dxa"/>
                  <w:gridSpan w:val="2"/>
                  <w:tcBorders>
                    <w:top w:val="nil"/>
                    <w:left w:val="nil"/>
                    <w:bottom w:val="nil"/>
                    <w:right w:val="nil"/>
                  </w:tcBorders>
                  <w:shd w:val="clear" w:color="auto" w:fill="auto"/>
                  <w:noWrap/>
                  <w:vAlign w:val="center"/>
                  <w:hideMark/>
                </w:tcPr>
                <w:p w14:paraId="50679E1F"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потребительских предпочтениях</w:t>
                  </w:r>
                </w:p>
              </w:tc>
              <w:tc>
                <w:tcPr>
                  <w:tcW w:w="960" w:type="dxa"/>
                  <w:tcBorders>
                    <w:top w:val="nil"/>
                    <w:left w:val="nil"/>
                    <w:bottom w:val="nil"/>
                    <w:right w:val="nil"/>
                  </w:tcBorders>
                  <w:shd w:val="clear" w:color="auto" w:fill="auto"/>
                  <w:noWrap/>
                  <w:vAlign w:val="center"/>
                  <w:hideMark/>
                </w:tcPr>
                <w:p w14:paraId="3229F762"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74</w:t>
                  </w:r>
                </w:p>
              </w:tc>
            </w:tr>
            <w:tr w:rsidR="00C4124D" w14:paraId="6587EB3F" w14:textId="77777777" w:rsidTr="002F10D1">
              <w:trPr>
                <w:trHeight w:val="300"/>
              </w:trPr>
              <w:tc>
                <w:tcPr>
                  <w:tcW w:w="547" w:type="dxa"/>
                  <w:tcBorders>
                    <w:top w:val="nil"/>
                    <w:left w:val="nil"/>
                    <w:bottom w:val="nil"/>
                    <w:right w:val="nil"/>
                  </w:tcBorders>
                  <w:shd w:val="clear" w:color="auto" w:fill="auto"/>
                  <w:noWrap/>
                  <w:vAlign w:val="bottom"/>
                  <w:hideMark/>
                </w:tcPr>
                <w:p w14:paraId="32608D9C" w14:textId="77777777" w:rsidR="00C4124D" w:rsidRDefault="00C4124D" w:rsidP="00C4124D">
                  <w:pPr>
                    <w:rPr>
                      <w:rFonts w:ascii="Calibri" w:hAnsi="Calibri"/>
                      <w:color w:val="000000"/>
                      <w:sz w:val="22"/>
                      <w:szCs w:val="22"/>
                    </w:rPr>
                  </w:pPr>
                  <w:r>
                    <w:rPr>
                      <w:rFonts w:ascii="Calibri" w:hAnsi="Calibri"/>
                      <w:color w:val="000000"/>
                      <w:sz w:val="22"/>
                      <w:szCs w:val="22"/>
                    </w:rPr>
                    <w:t>10</w:t>
                  </w:r>
                </w:p>
              </w:tc>
              <w:tc>
                <w:tcPr>
                  <w:tcW w:w="5190" w:type="dxa"/>
                  <w:gridSpan w:val="3"/>
                  <w:tcBorders>
                    <w:top w:val="nil"/>
                    <w:left w:val="nil"/>
                    <w:bottom w:val="nil"/>
                    <w:right w:val="nil"/>
                  </w:tcBorders>
                  <w:shd w:val="clear" w:color="auto" w:fill="auto"/>
                  <w:noWrap/>
                  <w:vAlign w:val="center"/>
                  <w:hideMark/>
                </w:tcPr>
                <w:p w14:paraId="3D257695"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614314F5"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76</w:t>
                  </w:r>
                </w:p>
              </w:tc>
            </w:tr>
            <w:tr w:rsidR="00C4124D" w14:paraId="2EAAC600" w14:textId="77777777" w:rsidTr="002F10D1">
              <w:trPr>
                <w:trHeight w:val="300"/>
              </w:trPr>
              <w:tc>
                <w:tcPr>
                  <w:tcW w:w="547" w:type="dxa"/>
                  <w:tcBorders>
                    <w:top w:val="nil"/>
                    <w:left w:val="nil"/>
                    <w:bottom w:val="nil"/>
                    <w:right w:val="nil"/>
                  </w:tcBorders>
                  <w:shd w:val="clear" w:color="auto" w:fill="auto"/>
                  <w:noWrap/>
                  <w:vAlign w:val="bottom"/>
                  <w:hideMark/>
                </w:tcPr>
                <w:p w14:paraId="2A58AD79" w14:textId="77777777" w:rsidR="00C4124D" w:rsidRDefault="00C4124D" w:rsidP="00C4124D">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2703CFC7" w14:textId="77777777" w:rsidR="00C4124D" w:rsidRDefault="00C4124D" w:rsidP="00C4124D">
                  <w:pPr>
                    <w:rPr>
                      <w:rFonts w:ascii="Calibri" w:hAnsi="Calibri"/>
                      <w:color w:val="000000"/>
                      <w:sz w:val="22"/>
                      <w:szCs w:val="22"/>
                    </w:rPr>
                  </w:pPr>
                  <w:r>
                    <w:rPr>
                      <w:rFonts w:ascii="Calibri" w:hAnsi="Calibri"/>
                      <w:color w:val="000000"/>
                      <w:sz w:val="22"/>
                      <w:szCs w:val="22"/>
                    </w:rPr>
                    <w:t>10.1</w:t>
                  </w:r>
                </w:p>
              </w:tc>
              <w:tc>
                <w:tcPr>
                  <w:tcW w:w="4482" w:type="dxa"/>
                  <w:gridSpan w:val="2"/>
                  <w:tcBorders>
                    <w:top w:val="nil"/>
                    <w:left w:val="nil"/>
                    <w:bottom w:val="nil"/>
                    <w:right w:val="nil"/>
                  </w:tcBorders>
                  <w:shd w:val="clear" w:color="auto" w:fill="auto"/>
                  <w:noWrap/>
                  <w:vAlign w:val="center"/>
                  <w:hideMark/>
                </w:tcPr>
                <w:p w14:paraId="5846D072" w14:textId="77777777" w:rsidR="00C4124D" w:rsidRDefault="00C4124D" w:rsidP="00C4124D">
                  <w:pPr>
                    <w:rPr>
                      <w:rFonts w:ascii="Arial" w:hAnsi="Arial" w:cs="Arial"/>
                      <w:i/>
                      <w:iCs/>
                      <w:color w:val="333399"/>
                      <w:sz w:val="20"/>
                      <w:szCs w:val="20"/>
                    </w:rPr>
                  </w:pPr>
                  <w:r>
                    <w:rPr>
                      <w:rFonts w:ascii="Arial" w:hAnsi="Arial" w:cs="Arial"/>
                      <w:i/>
                      <w:iCs/>
                      <w:noProof/>
                      <w:color w:val="333399"/>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2FB7865F"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76</w:t>
                  </w:r>
                </w:p>
              </w:tc>
            </w:tr>
            <w:tr w:rsidR="00C4124D" w14:paraId="4896B84E" w14:textId="77777777" w:rsidTr="002F10D1">
              <w:trPr>
                <w:trHeight w:val="300"/>
              </w:trPr>
              <w:tc>
                <w:tcPr>
                  <w:tcW w:w="547" w:type="dxa"/>
                  <w:tcBorders>
                    <w:top w:val="nil"/>
                    <w:left w:val="nil"/>
                    <w:bottom w:val="nil"/>
                    <w:right w:val="nil"/>
                  </w:tcBorders>
                  <w:shd w:val="clear" w:color="auto" w:fill="auto"/>
                  <w:noWrap/>
                  <w:vAlign w:val="bottom"/>
                  <w:hideMark/>
                </w:tcPr>
                <w:p w14:paraId="687ABF85"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8124322" w14:textId="77777777" w:rsidR="00C4124D" w:rsidRDefault="00C4124D" w:rsidP="00C4124D">
                  <w:pPr>
                    <w:rPr>
                      <w:sz w:val="20"/>
                      <w:szCs w:val="20"/>
                    </w:rPr>
                  </w:pPr>
                </w:p>
              </w:tc>
              <w:tc>
                <w:tcPr>
                  <w:tcW w:w="851" w:type="dxa"/>
                  <w:tcBorders>
                    <w:top w:val="nil"/>
                    <w:left w:val="nil"/>
                    <w:bottom w:val="nil"/>
                    <w:right w:val="nil"/>
                  </w:tcBorders>
                  <w:shd w:val="clear" w:color="auto" w:fill="auto"/>
                  <w:noWrap/>
                  <w:vAlign w:val="bottom"/>
                  <w:hideMark/>
                </w:tcPr>
                <w:p w14:paraId="7FA645D1" w14:textId="77777777" w:rsidR="00C4124D" w:rsidRDefault="00C4124D" w:rsidP="00C4124D">
                  <w:pPr>
                    <w:rPr>
                      <w:rFonts w:ascii="Calibri" w:hAnsi="Calibri"/>
                      <w:color w:val="000000"/>
                      <w:sz w:val="22"/>
                      <w:szCs w:val="22"/>
                    </w:rPr>
                  </w:pPr>
                  <w:r>
                    <w:rPr>
                      <w:rFonts w:ascii="Calibri" w:hAnsi="Calibri"/>
                      <w:color w:val="000000"/>
                      <w:sz w:val="22"/>
                      <w:szCs w:val="22"/>
                    </w:rPr>
                    <w:t>10.1.1</w:t>
                  </w:r>
                </w:p>
              </w:tc>
              <w:tc>
                <w:tcPr>
                  <w:tcW w:w="3631" w:type="dxa"/>
                  <w:tcBorders>
                    <w:top w:val="nil"/>
                    <w:left w:val="nil"/>
                    <w:bottom w:val="nil"/>
                    <w:right w:val="nil"/>
                  </w:tcBorders>
                  <w:shd w:val="clear" w:color="auto" w:fill="auto"/>
                  <w:noWrap/>
                  <w:vAlign w:val="center"/>
                  <w:hideMark/>
                </w:tcPr>
                <w:p w14:paraId="28D1544B" w14:textId="77777777" w:rsidR="00C4124D" w:rsidRDefault="00C4124D" w:rsidP="00C4124D">
                  <w:pPr>
                    <w:rPr>
                      <w:rFonts w:ascii="Arial" w:hAnsi="Arial" w:cs="Arial"/>
                      <w:color w:val="0000FF"/>
                      <w:sz w:val="20"/>
                      <w:szCs w:val="20"/>
                      <w:u w:val="single"/>
                    </w:rPr>
                  </w:pPr>
                  <w:r>
                    <w:rPr>
                      <w:rFonts w:ascii="Arial" w:hAnsi="Arial" w:cs="Arial"/>
                      <w:noProof/>
                      <w:color w:val="0000FF"/>
                      <w:sz w:val="20"/>
                      <w:szCs w:val="20"/>
                      <w:u w:val="single"/>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019B9459" w14:textId="77777777" w:rsidR="00C4124D" w:rsidRDefault="00C4124D" w:rsidP="00C4124D">
                  <w:pPr>
                    <w:rPr>
                      <w:rFonts w:ascii="Arial" w:hAnsi="Arial" w:cs="Arial"/>
                      <w:color w:val="000080"/>
                      <w:sz w:val="20"/>
                      <w:szCs w:val="20"/>
                    </w:rPr>
                  </w:pPr>
                  <w:r>
                    <w:rPr>
                      <w:rFonts w:ascii="Arial" w:hAnsi="Arial" w:cs="Arial"/>
                      <w:noProof/>
                      <w:color w:val="000080"/>
                      <w:sz w:val="20"/>
                      <w:szCs w:val="20"/>
                    </w:rPr>
                    <w:t>80</w:t>
                  </w:r>
                </w:p>
              </w:tc>
            </w:tr>
            <w:tr w:rsidR="00C4124D" w14:paraId="242D9C97" w14:textId="77777777" w:rsidTr="002F10D1">
              <w:trPr>
                <w:trHeight w:val="300"/>
              </w:trPr>
              <w:tc>
                <w:tcPr>
                  <w:tcW w:w="547" w:type="dxa"/>
                  <w:tcBorders>
                    <w:top w:val="nil"/>
                    <w:left w:val="nil"/>
                    <w:bottom w:val="nil"/>
                    <w:right w:val="nil"/>
                  </w:tcBorders>
                  <w:shd w:val="clear" w:color="auto" w:fill="auto"/>
                  <w:noWrap/>
                  <w:vAlign w:val="bottom"/>
                  <w:hideMark/>
                </w:tcPr>
                <w:p w14:paraId="592954FD" w14:textId="77777777" w:rsidR="00C4124D" w:rsidRDefault="00C4124D" w:rsidP="00C4124D">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1AE4C3F" w14:textId="77777777" w:rsidR="00C4124D" w:rsidRDefault="00C4124D" w:rsidP="00C4124D">
                  <w:pPr>
                    <w:rPr>
                      <w:sz w:val="20"/>
                      <w:szCs w:val="20"/>
                    </w:rPr>
                  </w:pPr>
                </w:p>
              </w:tc>
              <w:tc>
                <w:tcPr>
                  <w:tcW w:w="851" w:type="dxa"/>
                  <w:tcBorders>
                    <w:top w:val="nil"/>
                    <w:left w:val="nil"/>
                    <w:bottom w:val="nil"/>
                    <w:right w:val="nil"/>
                  </w:tcBorders>
                  <w:shd w:val="clear" w:color="auto" w:fill="auto"/>
                  <w:noWrap/>
                  <w:vAlign w:val="bottom"/>
                  <w:hideMark/>
                </w:tcPr>
                <w:p w14:paraId="36AFDAAA" w14:textId="77777777" w:rsidR="00C4124D" w:rsidRDefault="00C4124D" w:rsidP="00C4124D">
                  <w:pPr>
                    <w:rPr>
                      <w:rFonts w:ascii="Calibri" w:hAnsi="Calibri"/>
                      <w:color w:val="000000"/>
                      <w:sz w:val="22"/>
                      <w:szCs w:val="22"/>
                    </w:rPr>
                  </w:pPr>
                  <w:r>
                    <w:rPr>
                      <w:rFonts w:ascii="Calibri" w:hAnsi="Calibri"/>
                      <w:color w:val="000000"/>
                      <w:sz w:val="22"/>
                      <w:szCs w:val="22"/>
                    </w:rPr>
                    <w:t>10.1.2</w:t>
                  </w:r>
                </w:p>
              </w:tc>
              <w:tc>
                <w:tcPr>
                  <w:tcW w:w="3631" w:type="dxa"/>
                  <w:tcBorders>
                    <w:top w:val="nil"/>
                    <w:left w:val="nil"/>
                    <w:bottom w:val="nil"/>
                    <w:right w:val="nil"/>
                  </w:tcBorders>
                  <w:shd w:val="clear" w:color="auto" w:fill="auto"/>
                  <w:noWrap/>
                  <w:vAlign w:val="center"/>
                  <w:hideMark/>
                </w:tcPr>
                <w:p w14:paraId="13647411" w14:textId="77777777" w:rsidR="00C4124D" w:rsidRDefault="00C4124D" w:rsidP="00C4124D">
                  <w:pPr>
                    <w:rPr>
                      <w:rFonts w:ascii="Arial" w:hAnsi="Arial" w:cs="Arial"/>
                      <w:color w:val="0000FF"/>
                      <w:sz w:val="20"/>
                      <w:szCs w:val="20"/>
                      <w:u w:val="single"/>
                    </w:rPr>
                  </w:pPr>
                  <w:r>
                    <w:rPr>
                      <w:rFonts w:ascii="Arial" w:hAnsi="Arial" w:cs="Arial"/>
                      <w:noProof/>
                      <w:color w:val="0000FF"/>
                      <w:sz w:val="20"/>
                      <w:szCs w:val="20"/>
                      <w:u w:val="single"/>
                    </w:rPr>
                    <w:t>Сдерживающие факторы Рынка. Анализ рисков</w:t>
                  </w:r>
                </w:p>
              </w:tc>
              <w:tc>
                <w:tcPr>
                  <w:tcW w:w="960" w:type="dxa"/>
                  <w:tcBorders>
                    <w:top w:val="nil"/>
                    <w:left w:val="nil"/>
                    <w:bottom w:val="nil"/>
                    <w:right w:val="nil"/>
                  </w:tcBorders>
                  <w:shd w:val="clear" w:color="auto" w:fill="auto"/>
                  <w:noWrap/>
                  <w:vAlign w:val="center"/>
                  <w:hideMark/>
                </w:tcPr>
                <w:p w14:paraId="0FC56E85" w14:textId="77777777" w:rsidR="00C4124D" w:rsidRDefault="00C4124D" w:rsidP="00C4124D">
                  <w:pPr>
                    <w:rPr>
                      <w:rFonts w:ascii="Arial" w:hAnsi="Arial" w:cs="Arial"/>
                      <w:color w:val="000080"/>
                      <w:sz w:val="20"/>
                      <w:szCs w:val="20"/>
                    </w:rPr>
                  </w:pPr>
                  <w:r>
                    <w:rPr>
                      <w:rFonts w:ascii="Arial" w:hAnsi="Arial" w:cs="Arial"/>
                      <w:noProof/>
                      <w:color w:val="000080"/>
                      <w:sz w:val="20"/>
                      <w:szCs w:val="20"/>
                    </w:rPr>
                    <w:t>80</w:t>
                  </w:r>
                </w:p>
              </w:tc>
            </w:tr>
            <w:tr w:rsidR="00C4124D" w14:paraId="279549F4" w14:textId="77777777" w:rsidTr="002F10D1">
              <w:trPr>
                <w:trHeight w:val="300"/>
              </w:trPr>
              <w:tc>
                <w:tcPr>
                  <w:tcW w:w="547" w:type="dxa"/>
                  <w:tcBorders>
                    <w:top w:val="nil"/>
                    <w:left w:val="nil"/>
                    <w:bottom w:val="nil"/>
                    <w:right w:val="nil"/>
                  </w:tcBorders>
                  <w:shd w:val="clear" w:color="auto" w:fill="auto"/>
                  <w:noWrap/>
                  <w:vAlign w:val="bottom"/>
                  <w:hideMark/>
                </w:tcPr>
                <w:p w14:paraId="04DD1025" w14:textId="77777777" w:rsidR="00C4124D" w:rsidRDefault="00C4124D" w:rsidP="00C4124D">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FC11344" w14:textId="77777777" w:rsidR="00C4124D" w:rsidRDefault="00C4124D" w:rsidP="00C4124D">
                  <w:pPr>
                    <w:rPr>
                      <w:rFonts w:ascii="Calibri" w:hAnsi="Calibri"/>
                      <w:color w:val="000000"/>
                      <w:sz w:val="22"/>
                      <w:szCs w:val="22"/>
                    </w:rPr>
                  </w:pPr>
                  <w:r>
                    <w:rPr>
                      <w:rFonts w:ascii="Calibri" w:hAnsi="Calibri"/>
                      <w:color w:val="000000"/>
                      <w:sz w:val="22"/>
                      <w:szCs w:val="22"/>
                    </w:rPr>
                    <w:t>10.2</w:t>
                  </w:r>
                </w:p>
              </w:tc>
              <w:tc>
                <w:tcPr>
                  <w:tcW w:w="4482" w:type="dxa"/>
                  <w:gridSpan w:val="2"/>
                  <w:tcBorders>
                    <w:top w:val="nil"/>
                    <w:left w:val="nil"/>
                    <w:bottom w:val="nil"/>
                    <w:right w:val="nil"/>
                  </w:tcBorders>
                  <w:shd w:val="clear" w:color="auto" w:fill="auto"/>
                  <w:noWrap/>
                  <w:vAlign w:val="center"/>
                  <w:hideMark/>
                </w:tcPr>
                <w:p w14:paraId="1D0CD78B"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Риски, связанные с Рынком, способы избежать рисков</w:t>
                  </w:r>
                </w:p>
              </w:tc>
              <w:tc>
                <w:tcPr>
                  <w:tcW w:w="960" w:type="dxa"/>
                  <w:tcBorders>
                    <w:top w:val="nil"/>
                    <w:left w:val="nil"/>
                    <w:bottom w:val="nil"/>
                    <w:right w:val="nil"/>
                  </w:tcBorders>
                  <w:shd w:val="clear" w:color="auto" w:fill="auto"/>
                  <w:noWrap/>
                  <w:vAlign w:val="center"/>
                  <w:hideMark/>
                </w:tcPr>
                <w:p w14:paraId="10B5C00C"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82</w:t>
                  </w:r>
                </w:p>
              </w:tc>
            </w:tr>
            <w:tr w:rsidR="00C4124D" w14:paraId="04CA7E7F" w14:textId="77777777" w:rsidTr="002F10D1">
              <w:trPr>
                <w:trHeight w:val="300"/>
              </w:trPr>
              <w:tc>
                <w:tcPr>
                  <w:tcW w:w="547" w:type="dxa"/>
                  <w:tcBorders>
                    <w:top w:val="nil"/>
                    <w:left w:val="nil"/>
                    <w:bottom w:val="nil"/>
                    <w:right w:val="nil"/>
                  </w:tcBorders>
                  <w:shd w:val="clear" w:color="auto" w:fill="auto"/>
                  <w:noWrap/>
                  <w:vAlign w:val="bottom"/>
                  <w:hideMark/>
                </w:tcPr>
                <w:p w14:paraId="2542D4F5" w14:textId="77777777" w:rsidR="00C4124D" w:rsidRDefault="00C4124D" w:rsidP="00C4124D">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FF08124" w14:textId="77777777" w:rsidR="00C4124D" w:rsidRDefault="00C4124D" w:rsidP="00C4124D">
                  <w:pPr>
                    <w:rPr>
                      <w:rFonts w:ascii="Calibri" w:hAnsi="Calibri"/>
                      <w:color w:val="000000"/>
                      <w:sz w:val="22"/>
                      <w:szCs w:val="22"/>
                    </w:rPr>
                  </w:pPr>
                  <w:r>
                    <w:rPr>
                      <w:rFonts w:ascii="Calibri" w:hAnsi="Calibri"/>
                      <w:color w:val="000000"/>
                      <w:sz w:val="22"/>
                      <w:szCs w:val="22"/>
                    </w:rPr>
                    <w:t>10.3</w:t>
                  </w:r>
                </w:p>
              </w:tc>
              <w:tc>
                <w:tcPr>
                  <w:tcW w:w="4482" w:type="dxa"/>
                  <w:gridSpan w:val="2"/>
                  <w:tcBorders>
                    <w:top w:val="nil"/>
                    <w:left w:val="nil"/>
                    <w:bottom w:val="nil"/>
                    <w:right w:val="nil"/>
                  </w:tcBorders>
                  <w:shd w:val="clear" w:color="auto" w:fill="auto"/>
                  <w:noWrap/>
                  <w:vAlign w:val="center"/>
                  <w:hideMark/>
                </w:tcPr>
                <w:p w14:paraId="1896F628" w14:textId="77777777" w:rsidR="00C4124D" w:rsidRDefault="00C4124D" w:rsidP="00C4124D">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726E1938" w14:textId="77777777" w:rsidR="00C4124D" w:rsidRDefault="00C4124D" w:rsidP="00C4124D">
                  <w:pPr>
                    <w:rPr>
                      <w:rFonts w:ascii="Arial" w:hAnsi="Arial" w:cs="Arial"/>
                      <w:i/>
                      <w:iCs/>
                      <w:color w:val="000080"/>
                      <w:sz w:val="20"/>
                      <w:szCs w:val="20"/>
                    </w:rPr>
                  </w:pPr>
                  <w:r>
                    <w:rPr>
                      <w:rFonts w:ascii="Arial" w:hAnsi="Arial" w:cs="Arial"/>
                      <w:i/>
                      <w:iCs/>
                      <w:noProof/>
                      <w:color w:val="000080"/>
                      <w:sz w:val="20"/>
                      <w:szCs w:val="20"/>
                    </w:rPr>
                    <w:t>83</w:t>
                  </w:r>
                </w:p>
              </w:tc>
            </w:tr>
            <w:tr w:rsidR="00C4124D" w14:paraId="50CCB4A0" w14:textId="77777777" w:rsidTr="002F10D1">
              <w:trPr>
                <w:trHeight w:val="300"/>
              </w:trPr>
              <w:tc>
                <w:tcPr>
                  <w:tcW w:w="547" w:type="dxa"/>
                  <w:tcBorders>
                    <w:top w:val="nil"/>
                    <w:left w:val="nil"/>
                    <w:bottom w:val="nil"/>
                    <w:right w:val="nil"/>
                  </w:tcBorders>
                  <w:shd w:val="clear" w:color="auto" w:fill="auto"/>
                  <w:noWrap/>
                  <w:vAlign w:val="bottom"/>
                  <w:hideMark/>
                </w:tcPr>
                <w:p w14:paraId="67637912" w14:textId="77777777" w:rsidR="00C4124D" w:rsidRDefault="00C4124D" w:rsidP="00C4124D">
                  <w:pPr>
                    <w:rPr>
                      <w:rFonts w:ascii="Calibri" w:hAnsi="Calibri"/>
                      <w:color w:val="000000"/>
                      <w:sz w:val="22"/>
                      <w:szCs w:val="22"/>
                    </w:rPr>
                  </w:pPr>
                  <w:r>
                    <w:rPr>
                      <w:rFonts w:ascii="Calibri" w:hAnsi="Calibri"/>
                      <w:color w:val="000000"/>
                      <w:sz w:val="22"/>
                      <w:szCs w:val="22"/>
                    </w:rPr>
                    <w:t>11</w:t>
                  </w:r>
                </w:p>
              </w:tc>
              <w:tc>
                <w:tcPr>
                  <w:tcW w:w="5190" w:type="dxa"/>
                  <w:gridSpan w:val="3"/>
                  <w:tcBorders>
                    <w:top w:val="nil"/>
                    <w:left w:val="nil"/>
                    <w:bottom w:val="nil"/>
                    <w:right w:val="nil"/>
                  </w:tcBorders>
                  <w:shd w:val="clear" w:color="auto" w:fill="auto"/>
                  <w:noWrap/>
                  <w:vAlign w:val="center"/>
                  <w:hideMark/>
                </w:tcPr>
                <w:p w14:paraId="6E288473"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 xml:space="preserve">Приложение I </w:t>
                  </w:r>
                  <w:r>
                    <w:rPr>
                      <w:rFonts w:ascii="Verdana" w:hAnsi="Verdana" w:cs="Arial"/>
                      <w:b/>
                      <w:bCs/>
                      <w:noProof/>
                      <w:color w:val="000080"/>
                      <w:sz w:val="20"/>
                      <w:szCs w:val="20"/>
                    </w:rPr>
                    <w:t>Медицинские услуги, выполняемые пластическими хирургами</w:t>
                  </w:r>
                </w:p>
              </w:tc>
              <w:tc>
                <w:tcPr>
                  <w:tcW w:w="960" w:type="dxa"/>
                  <w:tcBorders>
                    <w:top w:val="nil"/>
                    <w:left w:val="nil"/>
                    <w:bottom w:val="nil"/>
                    <w:right w:val="nil"/>
                  </w:tcBorders>
                  <w:shd w:val="clear" w:color="auto" w:fill="auto"/>
                  <w:noWrap/>
                  <w:vAlign w:val="center"/>
                  <w:hideMark/>
                </w:tcPr>
                <w:p w14:paraId="236E129C" w14:textId="77777777" w:rsidR="00C4124D" w:rsidRDefault="00C4124D" w:rsidP="00C4124D">
                  <w:pPr>
                    <w:rPr>
                      <w:rFonts w:ascii="Arial" w:hAnsi="Arial" w:cs="Arial"/>
                      <w:b/>
                      <w:bCs/>
                      <w:color w:val="000080"/>
                      <w:sz w:val="20"/>
                      <w:szCs w:val="20"/>
                    </w:rPr>
                  </w:pPr>
                  <w:r>
                    <w:rPr>
                      <w:rFonts w:ascii="Arial" w:hAnsi="Arial" w:cs="Arial"/>
                      <w:b/>
                      <w:bCs/>
                      <w:noProof/>
                      <w:color w:val="000080"/>
                      <w:sz w:val="20"/>
                      <w:szCs w:val="20"/>
                    </w:rPr>
                    <w:t>86</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369096EE"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fldChar w:fldCharType="begin"/>
            </w:r>
            <w:r w:rsidRPr="00090C15">
              <w:rPr>
                <w:rFonts w:ascii="Times New Roman" w:hAnsi="Times New Roman"/>
                <w:sz w:val="20"/>
                <w:szCs w:val="20"/>
              </w:rPr>
              <w:instrText xml:space="preserve"> TOC \n \c "Диаграмма" </w:instrText>
            </w:r>
            <w:r w:rsidRPr="00090C15">
              <w:rPr>
                <w:rFonts w:ascii="Times New Roman" w:hAnsi="Times New Roman"/>
                <w:sz w:val="20"/>
                <w:szCs w:val="20"/>
              </w:rPr>
              <w:fldChar w:fldCharType="separate"/>
            </w:r>
            <w:r w:rsidRPr="00090C15">
              <w:rPr>
                <w:rFonts w:ascii="Times New Roman" w:hAnsi="Times New Roman"/>
                <w:sz w:val="20"/>
                <w:szCs w:val="20"/>
              </w:rPr>
              <w:t>Диаграмма 1. Динамика ВВП в текущих ценах, 2014-2017 гг. и 2018 – 2019 гг прогноз, трлн. руб.</w:t>
            </w:r>
          </w:p>
          <w:p w14:paraId="63FAF2CA"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lastRenderedPageBreak/>
              <w:t>Диаграмма 2. Темпы роста промышленного производства, 2011-2017 гг., %</w:t>
            </w:r>
          </w:p>
          <w:p w14:paraId="2D41106B"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3. Динамика объема инвестиций в основной капитал, 2010-2017 гг., трлн руб., %</w:t>
            </w:r>
          </w:p>
          <w:p w14:paraId="341F94F7"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4. Инфляция в 2011-2017 гг., %</w:t>
            </w:r>
          </w:p>
          <w:p w14:paraId="3AA29522"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5. Динамика оборота розничной торговли, 2011-2017 гг. трлн руб.</w:t>
            </w:r>
          </w:p>
          <w:p w14:paraId="0A40052F"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6. Среднедушевые денежные доходы населения 2011 – 2017 гг., руб.</w:t>
            </w:r>
          </w:p>
          <w:p w14:paraId="551388A8"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7. Среднедушевые денежные доходы населения 2017г. руб.</w:t>
            </w:r>
          </w:p>
          <w:p w14:paraId="696E71CA"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8. Объем и динамика рынка платных медицинских услуг 2013-2017 гг., млрд. руб., %</w:t>
            </w:r>
          </w:p>
          <w:p w14:paraId="4D104DA4"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9. Структура рынка платных медицинских услуг в денежном выражении по федеральным округам в 2017 году, %</w:t>
            </w:r>
          </w:p>
          <w:p w14:paraId="057F5EB4"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10. Динамика и темпы роста рыка препараторов для инъекционной косметологии в денежном выражении в 2015 - 2017 гг., млрд. руб., %</w:t>
            </w:r>
          </w:p>
          <w:p w14:paraId="0260D5DE"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11. Динамика и темпы роста рыка препараторов для инъекционной косметологии в натуральном  выражении в 2016 - 2017 гг., млрд. руб., %</w:t>
            </w:r>
          </w:p>
          <w:p w14:paraId="57F95B25"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12. Число торговых марок препаратов для косметических инъекций, присутствующих на российском рынке в 2015 – 2017 гг., шт., %</w:t>
            </w:r>
          </w:p>
          <w:p w14:paraId="142A8ECF"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13. Число зарегистрированных торговых марок препаратов для косметологических инъекций в сегментах ботулотоксинов, филлеров и биоревитализантов, шт.</w:t>
            </w:r>
          </w:p>
          <w:p w14:paraId="3FB5690D"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14. Доля поддельных косметических средств в крупнейших сегментах рынка инъекционной косметологии в 2017 году, %</w:t>
            </w:r>
          </w:p>
          <w:p w14:paraId="2D8BE700"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15. Динамика и темпы прироста объема российского рынка пластической хирургии в денежном выражении в 2013 – 2017 гг., млрд. руб.</w:t>
            </w:r>
          </w:p>
          <w:p w14:paraId="6B29A538"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16. Динамика и темпы прироста объема российского рынка пластической хирургии в натуральном выражении в 2013 – 2017 гг., млн. услуг</w:t>
            </w:r>
          </w:p>
          <w:p w14:paraId="37B4345B"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17. Структура объема российского рынка пластической хирургии в натуральном выражении в 2017 году, %</w:t>
            </w:r>
          </w:p>
          <w:p w14:paraId="174946D3"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18. Динамика объема сегмента блефаропластики в натуральном выражении в 2013 - 2017 гг., тыс. услуг, %</w:t>
            </w:r>
          </w:p>
          <w:p w14:paraId="712ED63B"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19. Динамика объема сегмента услуг по увеличению молочных желез в натуральном выражении в 2013 - 2017 гг., тыс. услуг, %</w:t>
            </w:r>
          </w:p>
          <w:p w14:paraId="2CDD7D83"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20. Динамика объема сегмента ринопластики в натуральном выражении в 2013 - 2017 гг., тыс. услуг, %</w:t>
            </w:r>
          </w:p>
          <w:p w14:paraId="4824C99B"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lastRenderedPageBreak/>
              <w:t>Диаграмма 21. Динамика объема сегмента подтяжки лица в натуральном выражении в 2013 - 2017 гг., тыс. услуг, %</w:t>
            </w:r>
          </w:p>
          <w:p w14:paraId="46570FEE"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22. Динамика объема сегмента липосакции в натуральном выражении в 2013 - 2017 гг., тыс. услуг, %</w:t>
            </w:r>
          </w:p>
          <w:p w14:paraId="150B0863"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23. Динамика объема сегмента услуг подтяжки груди в натуральном выражении в 2013 - 2017 гг., тыс. услуг, %</w:t>
            </w:r>
          </w:p>
          <w:p w14:paraId="634D7928"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24. Динамика объема сегмента абдоминопластики в натуральном выражении в 2013 - 2017 гг., тыс. услуг, %</w:t>
            </w:r>
          </w:p>
          <w:p w14:paraId="2E2DE067"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25. Динамика объема сегмента отопластики в натуральном выражении в 2013 - 2017 гг., тыс. услуг, %</w:t>
            </w:r>
          </w:p>
          <w:p w14:paraId="3106A656"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26. Динамика объема сегмента интимной пластики в натуральном выражении в 2013 - 2017 гг., тыс. услуг, %</w:t>
            </w:r>
          </w:p>
          <w:p w14:paraId="6727FFB1"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27. Динамика объема сегмента липофилинга в натуральном выражении в 2013 - 2017 гг., тыс. услуг, %</w:t>
            </w:r>
          </w:p>
          <w:p w14:paraId="048909F6"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28. Структура рынка пластической хирургии в натуральном выражении в 2016 году, %</w:t>
            </w:r>
          </w:p>
          <w:p w14:paraId="184FE1FC"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29. Динамика и темпы прироста объема российского рынка инъекционной косметологии в денежном выражении в 2013 – 2017 гг., млрд. руб.</w:t>
            </w:r>
          </w:p>
          <w:p w14:paraId="4B9D3C30"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30. Динамика и темпы прироста объема российского рынка инъекционной косметологии в натуральном выражении в 2013 – 2017 гг., млн. услуг</w:t>
            </w:r>
          </w:p>
          <w:p w14:paraId="6A1AEDC1"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31. Темпы прироста объема крупнейших сегментов рынка инъекционной косметологии в натуральном и денежном выражении в 2017 году к 2016 году, %</w:t>
            </w:r>
          </w:p>
          <w:p w14:paraId="261FE9AB"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32. Структура объема рынка инъекционной косметологии в натуральном и денежном выражении по каналам сбыта в 2016 году, %</w:t>
            </w:r>
          </w:p>
          <w:p w14:paraId="315415D2"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33. Отношение жителей России к пластической хирургии в 2018 году, %</w:t>
            </w:r>
          </w:p>
          <w:p w14:paraId="01D5E4D2"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34. Наиболее значимые для российских потребителей критерии выбора клиники пластической хирургии или салона косметологии в 2018 году, %</w:t>
            </w:r>
          </w:p>
          <w:p w14:paraId="05B8035E"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35. Наиболее значимые для российских потребителей критерии выбора пластического хирурга, %</w:t>
            </w:r>
          </w:p>
          <w:p w14:paraId="7F65CDAB"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Диаграмма 36. Востребованность услуги перманентного макияжа в России, %</w:t>
            </w:r>
          </w:p>
          <w:p w14:paraId="7F900382" w14:textId="77777777" w:rsidR="00090C15" w:rsidRPr="00090C15" w:rsidRDefault="00090C15" w:rsidP="00090C15">
            <w:pPr>
              <w:pStyle w:val="a4"/>
              <w:rPr>
                <w:b w:val="0"/>
                <w:sz w:val="20"/>
                <w:szCs w:val="20"/>
              </w:rPr>
            </w:pPr>
            <w:r w:rsidRPr="00090C15">
              <w:rPr>
                <w:b w:val="0"/>
                <w:sz w:val="20"/>
                <w:szCs w:val="20"/>
              </w:rPr>
              <w:fldChar w:fldCharType="end"/>
            </w:r>
            <w:r w:rsidRPr="00090C15">
              <w:rPr>
                <w:b w:val="0"/>
                <w:sz w:val="20"/>
                <w:szCs w:val="20"/>
              </w:rPr>
              <w:fldChar w:fldCharType="begin"/>
            </w:r>
            <w:r w:rsidRPr="00090C15">
              <w:rPr>
                <w:b w:val="0"/>
                <w:sz w:val="20"/>
                <w:szCs w:val="20"/>
              </w:rPr>
              <w:instrText xml:space="preserve"> TOC \n \c "Таблица" </w:instrText>
            </w:r>
            <w:r w:rsidRPr="00090C15">
              <w:rPr>
                <w:b w:val="0"/>
                <w:sz w:val="20"/>
                <w:szCs w:val="20"/>
              </w:rPr>
              <w:fldChar w:fldCharType="separate"/>
            </w:r>
          </w:p>
          <w:p w14:paraId="52E38098"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Таблица 1. Расчет объема рынка препаратов для косметологических инъекций в натуральном выражении</w:t>
            </w:r>
          </w:p>
          <w:p w14:paraId="7CC9367C"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lastRenderedPageBreak/>
              <w:t>Таблица 2. Крупнейшие страны – производители косметологических инъекций, обращавшихся на российском рынке в 2017 году</w:t>
            </w:r>
          </w:p>
          <w:p w14:paraId="4E3C2922"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Таблица 3. Средние цены на наиболее популярные операции в октябре 2018 года, руб.</w:t>
            </w:r>
          </w:p>
          <w:p w14:paraId="7502E161"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Таблица 4. Финансовые показатели ООО СП и ООО СП Плюс за 2016 год, тыс. руб.</w:t>
            </w:r>
          </w:p>
          <w:p w14:paraId="0A8D32E3"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Таблица 5. Сравнительная характеристика некоторых участников рынка эстетической медицины по основным параметрам</w:t>
            </w:r>
          </w:p>
          <w:p w14:paraId="65E5F0A0"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Таблица 6. STEP-анализ рынка медицинских эстетических услуг</w:t>
            </w:r>
          </w:p>
          <w:p w14:paraId="414D12E0"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Таблица 7. Возможные риски, связанные с Рынком</w:t>
            </w:r>
          </w:p>
          <w:p w14:paraId="44D9F2AB" w14:textId="77777777" w:rsidR="00090C15" w:rsidRPr="00090C15" w:rsidRDefault="00090C15" w:rsidP="00090C15">
            <w:pPr>
              <w:pStyle w:val="a4"/>
              <w:rPr>
                <w:b w:val="0"/>
                <w:sz w:val="20"/>
                <w:szCs w:val="20"/>
              </w:rPr>
            </w:pPr>
            <w:r w:rsidRPr="00090C15">
              <w:rPr>
                <w:b w:val="0"/>
                <w:sz w:val="20"/>
                <w:szCs w:val="20"/>
              </w:rPr>
              <w:fldChar w:fldCharType="end"/>
            </w:r>
            <w:r w:rsidRPr="00090C15">
              <w:rPr>
                <w:b w:val="0"/>
                <w:sz w:val="20"/>
                <w:szCs w:val="20"/>
              </w:rPr>
              <w:fldChar w:fldCharType="begin"/>
            </w:r>
            <w:r w:rsidRPr="00090C15">
              <w:rPr>
                <w:b w:val="0"/>
                <w:sz w:val="20"/>
                <w:szCs w:val="20"/>
              </w:rPr>
              <w:instrText xml:space="preserve"> TOC \n \c "Схема" </w:instrText>
            </w:r>
            <w:r w:rsidRPr="00090C15">
              <w:rPr>
                <w:b w:val="0"/>
                <w:sz w:val="20"/>
                <w:szCs w:val="20"/>
              </w:rPr>
              <w:fldChar w:fldCharType="separate"/>
            </w:r>
          </w:p>
          <w:p w14:paraId="783F550C" w14:textId="77777777" w:rsidR="00090C15" w:rsidRPr="00090C15" w:rsidRDefault="00090C15" w:rsidP="00090C15">
            <w:pPr>
              <w:pStyle w:val="ad"/>
              <w:tabs>
                <w:tab w:val="right" w:leader="dot" w:pos="7127"/>
              </w:tabs>
              <w:rPr>
                <w:rFonts w:ascii="Times New Roman" w:hAnsi="Times New Roman"/>
                <w:sz w:val="20"/>
                <w:szCs w:val="20"/>
              </w:rPr>
            </w:pPr>
            <w:r w:rsidRPr="00090C15">
              <w:rPr>
                <w:rFonts w:ascii="Times New Roman" w:hAnsi="Times New Roman"/>
                <w:sz w:val="20"/>
                <w:szCs w:val="20"/>
              </w:rPr>
              <w:t>Схема 1. Ценовая сегментация рынка услуг эстетической медицины, руб.</w:t>
            </w:r>
          </w:p>
          <w:p w14:paraId="579832ED" w14:textId="30AE9FC7" w:rsidR="0062380F" w:rsidRPr="00091322" w:rsidRDefault="00090C15" w:rsidP="00090C15">
            <w:pPr>
              <w:pStyle w:val="ad"/>
              <w:tabs>
                <w:tab w:val="right" w:leader="dot" w:pos="7127"/>
              </w:tabs>
              <w:rPr>
                <w:sz w:val="20"/>
                <w:szCs w:val="20"/>
              </w:rPr>
            </w:pPr>
            <w:r w:rsidRPr="00090C15">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3B8923E7" w:rsidR="00F32BA1" w:rsidRPr="00A31814" w:rsidRDefault="009E4251" w:rsidP="00090C15">
            <w:pPr>
              <w:rPr>
                <w:sz w:val="20"/>
                <w:szCs w:val="20"/>
              </w:rPr>
            </w:pPr>
            <w:r w:rsidRPr="00AF40B0">
              <w:rPr>
                <w:sz w:val="20"/>
                <w:szCs w:val="20"/>
              </w:rPr>
              <w:t>ГИ</w:t>
            </w:r>
            <w:r w:rsidR="00FB60F2" w:rsidRPr="00AF40B0">
              <w:rPr>
                <w:sz w:val="20"/>
                <w:szCs w:val="20"/>
              </w:rPr>
              <w:t xml:space="preserve"> </w:t>
            </w:r>
            <w:r w:rsidR="00090C15">
              <w:rPr>
                <w:sz w:val="20"/>
                <w:szCs w:val="20"/>
              </w:rPr>
              <w:t>эстетическая медицина</w:t>
            </w:r>
            <w:bookmarkStart w:id="6" w:name="_GoBack"/>
            <w:bookmarkEnd w:id="6"/>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7B0AD8"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7B0AD8"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7B0AD8"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7B0AD8"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5387F" w14:textId="77777777" w:rsidR="007B0AD8" w:rsidRDefault="007B0AD8">
      <w:r>
        <w:separator/>
      </w:r>
    </w:p>
  </w:endnote>
  <w:endnote w:type="continuationSeparator" w:id="0">
    <w:p w14:paraId="20A4AFD8" w14:textId="77777777" w:rsidR="007B0AD8" w:rsidRDefault="007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85082" w:rsidRDefault="00D85082"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6019531" w14:textId="77777777" w:rsidR="00D85082" w:rsidRDefault="00D8508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85082" w:rsidRPr="00D000EA" w:rsidRDefault="00D85082"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090C15">
      <w:rPr>
        <w:rStyle w:val="af3"/>
        <w:b/>
        <w:noProof/>
        <w:color w:val="000080"/>
      </w:rPr>
      <w:t>4</w:t>
    </w:r>
    <w:r w:rsidRPr="00D000EA">
      <w:rPr>
        <w:rStyle w:val="af3"/>
        <w:b/>
        <w:color w:val="000080"/>
      </w:rPr>
      <w:fldChar w:fldCharType="end"/>
    </w:r>
  </w:p>
  <w:p w14:paraId="69398999" w14:textId="77777777" w:rsidR="00D85082" w:rsidRDefault="00D8508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AC85D" w14:textId="77777777" w:rsidR="007B0AD8" w:rsidRDefault="007B0AD8">
      <w:r>
        <w:separator/>
      </w:r>
    </w:p>
  </w:footnote>
  <w:footnote w:type="continuationSeparator" w:id="0">
    <w:p w14:paraId="03FA68C8" w14:textId="77777777" w:rsidR="007B0AD8" w:rsidRDefault="007B0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85082" w:rsidRDefault="00D85082"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D85082" w:rsidRDefault="00D85082"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85082" w:rsidRDefault="00D85082"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D85082" w:rsidRDefault="00D85082" w:rsidP="006651BE">
    <w:pPr>
      <w:pStyle w:val="ab"/>
      <w:tabs>
        <w:tab w:val="clear" w:pos="9355"/>
        <w:tab w:val="left" w:pos="4956"/>
        <w:tab w:val="left" w:pos="5664"/>
        <w:tab w:val="left" w:pos="6372"/>
      </w:tabs>
      <w:ind w:left="-2268" w:right="360"/>
    </w:pPr>
  </w:p>
  <w:p w14:paraId="1AB15AD3" w14:textId="77777777" w:rsidR="00D85082" w:rsidRPr="00CF3D73" w:rsidRDefault="00D85082"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3E0"/>
    <w:rsid w:val="00084B27"/>
    <w:rsid w:val="00085022"/>
    <w:rsid w:val="00090C15"/>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159A"/>
    <w:rsid w:val="00217D3E"/>
    <w:rsid w:val="00222340"/>
    <w:rsid w:val="00224B48"/>
    <w:rsid w:val="00227947"/>
    <w:rsid w:val="00233472"/>
    <w:rsid w:val="00250D96"/>
    <w:rsid w:val="00250FB2"/>
    <w:rsid w:val="00256B4D"/>
    <w:rsid w:val="0025741B"/>
    <w:rsid w:val="0026081E"/>
    <w:rsid w:val="00265406"/>
    <w:rsid w:val="00265531"/>
    <w:rsid w:val="00265B12"/>
    <w:rsid w:val="002875A8"/>
    <w:rsid w:val="002A2A14"/>
    <w:rsid w:val="002A5787"/>
    <w:rsid w:val="002A76C0"/>
    <w:rsid w:val="002B4B48"/>
    <w:rsid w:val="002C0F00"/>
    <w:rsid w:val="002C1CC9"/>
    <w:rsid w:val="002C398D"/>
    <w:rsid w:val="002C535A"/>
    <w:rsid w:val="002C5A87"/>
    <w:rsid w:val="002D47C5"/>
    <w:rsid w:val="002E357B"/>
    <w:rsid w:val="002E619C"/>
    <w:rsid w:val="002F10D1"/>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2E8"/>
    <w:rsid w:val="003B46D3"/>
    <w:rsid w:val="003D286E"/>
    <w:rsid w:val="003D5A42"/>
    <w:rsid w:val="003D7519"/>
    <w:rsid w:val="003E0883"/>
    <w:rsid w:val="003E3A68"/>
    <w:rsid w:val="003E447A"/>
    <w:rsid w:val="003E44F9"/>
    <w:rsid w:val="003F39EC"/>
    <w:rsid w:val="003F4CF2"/>
    <w:rsid w:val="003F7FD6"/>
    <w:rsid w:val="0040062E"/>
    <w:rsid w:val="004006A7"/>
    <w:rsid w:val="00400E82"/>
    <w:rsid w:val="004119AD"/>
    <w:rsid w:val="004222EE"/>
    <w:rsid w:val="00426282"/>
    <w:rsid w:val="00426968"/>
    <w:rsid w:val="00427E12"/>
    <w:rsid w:val="00433123"/>
    <w:rsid w:val="00436D01"/>
    <w:rsid w:val="00443D22"/>
    <w:rsid w:val="004767DA"/>
    <w:rsid w:val="00480177"/>
    <w:rsid w:val="00484D4C"/>
    <w:rsid w:val="00485E20"/>
    <w:rsid w:val="00491253"/>
    <w:rsid w:val="00493234"/>
    <w:rsid w:val="004939C7"/>
    <w:rsid w:val="004A2FB0"/>
    <w:rsid w:val="004B60F4"/>
    <w:rsid w:val="004C1C74"/>
    <w:rsid w:val="004C2730"/>
    <w:rsid w:val="004C33CC"/>
    <w:rsid w:val="004C72E2"/>
    <w:rsid w:val="004D4CE8"/>
    <w:rsid w:val="004E49CC"/>
    <w:rsid w:val="004F3289"/>
    <w:rsid w:val="004F577F"/>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28F1"/>
    <w:rsid w:val="006F56CE"/>
    <w:rsid w:val="00700393"/>
    <w:rsid w:val="0070763D"/>
    <w:rsid w:val="00712DC5"/>
    <w:rsid w:val="00714F00"/>
    <w:rsid w:val="00715926"/>
    <w:rsid w:val="00720812"/>
    <w:rsid w:val="00731026"/>
    <w:rsid w:val="00743BA7"/>
    <w:rsid w:val="00744D1A"/>
    <w:rsid w:val="00747571"/>
    <w:rsid w:val="00756A2E"/>
    <w:rsid w:val="00760F7A"/>
    <w:rsid w:val="007622DC"/>
    <w:rsid w:val="0076423E"/>
    <w:rsid w:val="00764288"/>
    <w:rsid w:val="007767B0"/>
    <w:rsid w:val="00787B11"/>
    <w:rsid w:val="007903F0"/>
    <w:rsid w:val="00794F48"/>
    <w:rsid w:val="007A75F7"/>
    <w:rsid w:val="007B0AD8"/>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47CAF"/>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15E2"/>
    <w:rsid w:val="00975D0E"/>
    <w:rsid w:val="0098014F"/>
    <w:rsid w:val="009857E8"/>
    <w:rsid w:val="009A4DBA"/>
    <w:rsid w:val="009B1C28"/>
    <w:rsid w:val="009C42FE"/>
    <w:rsid w:val="009C7B88"/>
    <w:rsid w:val="009D335C"/>
    <w:rsid w:val="009D336E"/>
    <w:rsid w:val="009D510B"/>
    <w:rsid w:val="009D739F"/>
    <w:rsid w:val="009E4251"/>
    <w:rsid w:val="009E5B47"/>
    <w:rsid w:val="00A004F2"/>
    <w:rsid w:val="00A04DD3"/>
    <w:rsid w:val="00A06D30"/>
    <w:rsid w:val="00A10281"/>
    <w:rsid w:val="00A24608"/>
    <w:rsid w:val="00A31814"/>
    <w:rsid w:val="00A44B17"/>
    <w:rsid w:val="00A4558C"/>
    <w:rsid w:val="00A50035"/>
    <w:rsid w:val="00A50357"/>
    <w:rsid w:val="00A63426"/>
    <w:rsid w:val="00A64C4D"/>
    <w:rsid w:val="00A65E01"/>
    <w:rsid w:val="00A71C21"/>
    <w:rsid w:val="00A756BF"/>
    <w:rsid w:val="00A77E88"/>
    <w:rsid w:val="00A844C9"/>
    <w:rsid w:val="00A84A76"/>
    <w:rsid w:val="00A851BC"/>
    <w:rsid w:val="00A91C93"/>
    <w:rsid w:val="00A95BFE"/>
    <w:rsid w:val="00A97440"/>
    <w:rsid w:val="00AA3924"/>
    <w:rsid w:val="00AA4810"/>
    <w:rsid w:val="00AB1964"/>
    <w:rsid w:val="00AB7106"/>
    <w:rsid w:val="00AC013E"/>
    <w:rsid w:val="00AC2621"/>
    <w:rsid w:val="00AC64E4"/>
    <w:rsid w:val="00AE582A"/>
    <w:rsid w:val="00AE5C1D"/>
    <w:rsid w:val="00AF40B0"/>
    <w:rsid w:val="00AF6D91"/>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942A2"/>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4124D"/>
    <w:rsid w:val="00C5162E"/>
    <w:rsid w:val="00C53DB4"/>
    <w:rsid w:val="00C66986"/>
    <w:rsid w:val="00C826B2"/>
    <w:rsid w:val="00C85D8C"/>
    <w:rsid w:val="00C873FB"/>
    <w:rsid w:val="00C909D8"/>
    <w:rsid w:val="00CA19BC"/>
    <w:rsid w:val="00CA729C"/>
    <w:rsid w:val="00CC1C42"/>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0CDA"/>
    <w:rsid w:val="00D64076"/>
    <w:rsid w:val="00D66E5E"/>
    <w:rsid w:val="00D728AA"/>
    <w:rsid w:val="00D74E9F"/>
    <w:rsid w:val="00D81D4F"/>
    <w:rsid w:val="00D8242E"/>
    <w:rsid w:val="00D8508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2AE3"/>
    <w:rsid w:val="00E06449"/>
    <w:rsid w:val="00E1456B"/>
    <w:rsid w:val="00E15C23"/>
    <w:rsid w:val="00E16480"/>
    <w:rsid w:val="00E248B0"/>
    <w:rsid w:val="00E3316C"/>
    <w:rsid w:val="00E46CBF"/>
    <w:rsid w:val="00E5532E"/>
    <w:rsid w:val="00E569D8"/>
    <w:rsid w:val="00E64F83"/>
    <w:rsid w:val="00E74BC1"/>
    <w:rsid w:val="00E94FB0"/>
    <w:rsid w:val="00EA0CD5"/>
    <w:rsid w:val="00EA1BDC"/>
    <w:rsid w:val="00EA2307"/>
    <w:rsid w:val="00EA2D23"/>
    <w:rsid w:val="00EA3F31"/>
    <w:rsid w:val="00EB5BA8"/>
    <w:rsid w:val="00EC4E18"/>
    <w:rsid w:val="00ED11C8"/>
    <w:rsid w:val="00EE3B13"/>
    <w:rsid w:val="00EE50AB"/>
    <w:rsid w:val="00EE7C45"/>
    <w:rsid w:val="00F03117"/>
    <w:rsid w:val="00F03A49"/>
    <w:rsid w:val="00F05A7F"/>
    <w:rsid w:val="00F06A27"/>
    <w:rsid w:val="00F06E1C"/>
    <w:rsid w:val="00F10DE7"/>
    <w:rsid w:val="00F11B1E"/>
    <w:rsid w:val="00F13C02"/>
    <w:rsid w:val="00F16998"/>
    <w:rsid w:val="00F16FB1"/>
    <w:rsid w:val="00F20A99"/>
    <w:rsid w:val="00F235C3"/>
    <w:rsid w:val="00F32032"/>
    <w:rsid w:val="00F32BA1"/>
    <w:rsid w:val="00F4146F"/>
    <w:rsid w:val="00F42644"/>
    <w:rsid w:val="00F46370"/>
    <w:rsid w:val="00F465EB"/>
    <w:rsid w:val="00F560CF"/>
    <w:rsid w:val="00F670C7"/>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2">
    <w:name w:val="footnote reference"/>
    <w:uiPriority w:val="99"/>
    <w:rsid w:val="00BA2899"/>
    <w:rPr>
      <w:vertAlign w:val="superscript"/>
    </w:rPr>
  </w:style>
  <w:style w:type="character" w:styleId="af3">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1"/>
    <w:rsid w:val="00366063"/>
    <w:rPr>
      <w:rFonts w:ascii="Arial" w:hAnsi="Arial"/>
      <w:lang w:val="ru-RU" w:eastAsia="ru-RU" w:bidi="ar-SA"/>
    </w:rPr>
  </w:style>
  <w:style w:type="paragraph" w:customStyle="1" w:styleId="af4">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5">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5"/>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uiPriority w:val="99"/>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6">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7">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6"/>
    <w:rsid w:val="005043E8"/>
    <w:rPr>
      <w:rFonts w:ascii="Arial" w:hAnsi="Arial"/>
      <w:b/>
      <w:i/>
      <w:color w:val="000080"/>
    </w:rPr>
  </w:style>
  <w:style w:type="paragraph" w:styleId="af8">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9">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a">
    <w:name w:val="_Основной текст"/>
    <w:basedOn w:val="af0"/>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b">
    <w:name w:val="очистить формат"/>
    <w:basedOn w:val="a"/>
    <w:link w:val="afc"/>
    <w:uiPriority w:val="99"/>
    <w:rsid w:val="00866C77"/>
    <w:pPr>
      <w:spacing w:line="360" w:lineRule="auto"/>
      <w:jc w:val="both"/>
    </w:pPr>
    <w:rPr>
      <w:rFonts w:ascii="Arial" w:hAnsi="Arial"/>
      <w:sz w:val="20"/>
    </w:rPr>
  </w:style>
  <w:style w:type="character" w:customStyle="1" w:styleId="afc">
    <w:name w:val="очистить формат Знак"/>
    <w:link w:val="afb"/>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character" w:customStyle="1" w:styleId="af">
    <w:name w:val="Нижний колонтитул Знак"/>
    <w:link w:val="ae"/>
    <w:rsid w:val="00443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79377045">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179592601">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43300486">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68991811">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529219096">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6092420">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10465721">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5</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10126</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20</cp:revision>
  <cp:lastPrinted>2007-02-02T15:05:00Z</cp:lastPrinted>
  <dcterms:created xsi:type="dcterms:W3CDTF">2018-01-11T14:06:00Z</dcterms:created>
  <dcterms:modified xsi:type="dcterms:W3CDTF">2018-11-17T19:12:00Z</dcterms:modified>
</cp:coreProperties>
</file>